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FD" w:rsidRDefault="00E716FD" w:rsidP="005A1A8F">
      <w:pPr>
        <w:jc w:val="center"/>
        <w:rPr>
          <w:b/>
          <w:szCs w:val="24"/>
          <w:lang w:val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A33BF1C" wp14:editId="6E377693">
            <wp:simplePos x="0" y="0"/>
            <wp:positionH relativeFrom="column">
              <wp:posOffset>-1068260</wp:posOffset>
            </wp:positionH>
            <wp:positionV relativeFrom="paragraph">
              <wp:posOffset>-720090</wp:posOffset>
            </wp:positionV>
            <wp:extent cx="7562759" cy="10699668"/>
            <wp:effectExtent l="0" t="0" r="0" b="0"/>
            <wp:wrapNone/>
            <wp:docPr id="2" name="Изображение 1" descr="/Volumes/Design/MinFin/2016/обложка для документов/обложка_для-документов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Design/MinFin/2016/обложка для документов/обложка_для-документов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716FD" w:rsidRDefault="00E716FD" w:rsidP="005A1A8F">
      <w:pPr>
        <w:jc w:val="center"/>
        <w:rPr>
          <w:b/>
          <w:szCs w:val="24"/>
          <w:lang w:val="en-US"/>
        </w:rPr>
      </w:pPr>
    </w:p>
    <w:p w:rsidR="00E716FD" w:rsidRDefault="00E716FD" w:rsidP="005A1A8F">
      <w:pPr>
        <w:jc w:val="center"/>
        <w:rPr>
          <w:b/>
          <w:szCs w:val="24"/>
          <w:lang w:val="en-US"/>
        </w:rPr>
      </w:pPr>
    </w:p>
    <w:p w:rsidR="00E716FD" w:rsidRDefault="00E716FD" w:rsidP="005A1A8F">
      <w:pPr>
        <w:jc w:val="center"/>
        <w:rPr>
          <w:b/>
          <w:szCs w:val="24"/>
          <w:lang w:val="en-US"/>
        </w:rPr>
      </w:pPr>
    </w:p>
    <w:p w:rsidR="005A1A8F" w:rsidRDefault="005A1A8F" w:rsidP="005A1A8F">
      <w:pPr>
        <w:jc w:val="center"/>
        <w:rPr>
          <w:b/>
          <w:szCs w:val="24"/>
          <w:lang w:val="en-US"/>
        </w:rPr>
      </w:pPr>
    </w:p>
    <w:p w:rsidR="00E716FD" w:rsidRPr="00E716FD" w:rsidRDefault="00E716FD" w:rsidP="005A1A8F">
      <w:pPr>
        <w:jc w:val="center"/>
        <w:rPr>
          <w:b/>
          <w:bCs/>
          <w:szCs w:val="24"/>
          <w:lang w:val="en-US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bCs/>
          <w:szCs w:val="24"/>
        </w:rPr>
      </w:pPr>
    </w:p>
    <w:p w:rsidR="005A1A8F" w:rsidRPr="00E0509C" w:rsidRDefault="005A1A8F" w:rsidP="005A1A8F">
      <w:pPr>
        <w:jc w:val="center"/>
        <w:rPr>
          <w:b/>
          <w:bCs/>
          <w:szCs w:val="24"/>
        </w:rPr>
      </w:pPr>
    </w:p>
    <w:p w:rsidR="005A1A8F" w:rsidRDefault="005A1A8F" w:rsidP="005A1A8F">
      <w:pPr>
        <w:jc w:val="center"/>
        <w:rPr>
          <w:b/>
          <w:caps/>
          <w:sz w:val="28"/>
          <w:szCs w:val="28"/>
        </w:rPr>
      </w:pPr>
    </w:p>
    <w:p w:rsidR="00E716FD" w:rsidRDefault="00E716FD" w:rsidP="00E1369D">
      <w:pPr>
        <w:jc w:val="center"/>
        <w:rPr>
          <w:b/>
          <w:caps/>
          <w:sz w:val="32"/>
          <w:szCs w:val="32"/>
          <w:lang w:val="en-US"/>
        </w:rPr>
      </w:pPr>
    </w:p>
    <w:p w:rsidR="00E716FD" w:rsidRPr="00E716FD" w:rsidRDefault="00E716FD" w:rsidP="00E1369D">
      <w:pPr>
        <w:jc w:val="center"/>
        <w:rPr>
          <w:b/>
          <w:caps/>
          <w:sz w:val="40"/>
          <w:szCs w:val="32"/>
          <w:lang w:val="en-US"/>
        </w:rPr>
      </w:pPr>
    </w:p>
    <w:p w:rsidR="00E716FD" w:rsidRPr="00E716FD" w:rsidRDefault="00E716FD" w:rsidP="00E1369D">
      <w:pPr>
        <w:jc w:val="center"/>
        <w:rPr>
          <w:b/>
          <w:caps/>
          <w:sz w:val="40"/>
          <w:szCs w:val="32"/>
          <w:lang w:val="en-US"/>
        </w:rPr>
      </w:pPr>
    </w:p>
    <w:p w:rsidR="00DF56AC" w:rsidRPr="006C3DE7" w:rsidRDefault="006C3DE7" w:rsidP="00E716FD">
      <w:pPr>
        <w:spacing w:line="360" w:lineRule="auto"/>
        <w:jc w:val="center"/>
        <w:rPr>
          <w:b/>
          <w:caps/>
          <w:sz w:val="40"/>
          <w:szCs w:val="32"/>
        </w:rPr>
      </w:pPr>
      <w:r w:rsidRPr="006C3DE7">
        <w:rPr>
          <w:b/>
          <w:sz w:val="40"/>
          <w:szCs w:val="32"/>
        </w:rPr>
        <w:t>Модульная образовательная программа финансовой грамотности для «школ третьего возраста»</w:t>
      </w:r>
    </w:p>
    <w:p w:rsidR="00DF56AC" w:rsidRDefault="00DF56AC" w:rsidP="00E1369D">
      <w:pPr>
        <w:rPr>
          <w:sz w:val="28"/>
          <w:szCs w:val="28"/>
        </w:rPr>
      </w:pPr>
    </w:p>
    <w:p w:rsidR="00DF56AC" w:rsidRDefault="00DF56AC" w:rsidP="00E1369D">
      <w:pPr>
        <w:rPr>
          <w:sz w:val="28"/>
          <w:szCs w:val="28"/>
        </w:rPr>
      </w:pPr>
    </w:p>
    <w:p w:rsidR="00DF56AC" w:rsidRPr="00CE2623" w:rsidRDefault="00DF56AC" w:rsidP="00E1369D">
      <w:pPr>
        <w:rPr>
          <w:sz w:val="28"/>
          <w:szCs w:val="28"/>
        </w:rPr>
      </w:pPr>
    </w:p>
    <w:p w:rsidR="00DF56AC" w:rsidRDefault="00DF56AC" w:rsidP="00E1369D">
      <w:pPr>
        <w:rPr>
          <w:sz w:val="28"/>
          <w:szCs w:val="28"/>
        </w:rPr>
      </w:pPr>
    </w:p>
    <w:p w:rsidR="00DF56AC" w:rsidRDefault="00DF56AC" w:rsidP="00E1369D">
      <w:pPr>
        <w:rPr>
          <w:sz w:val="28"/>
          <w:szCs w:val="28"/>
        </w:rPr>
      </w:pPr>
    </w:p>
    <w:p w:rsidR="00DF56AC" w:rsidRDefault="00DF56AC" w:rsidP="00E1369D">
      <w:pPr>
        <w:spacing w:after="200"/>
        <w:rPr>
          <w:sz w:val="28"/>
          <w:szCs w:val="28"/>
        </w:rPr>
      </w:pPr>
    </w:p>
    <w:p w:rsidR="002215B9" w:rsidRDefault="002215B9" w:rsidP="00E1369D">
      <w:pPr>
        <w:spacing w:after="200"/>
        <w:rPr>
          <w:sz w:val="28"/>
          <w:szCs w:val="28"/>
        </w:rPr>
      </w:pPr>
    </w:p>
    <w:p w:rsidR="00DF56AC" w:rsidRDefault="00DF56AC" w:rsidP="00E1369D">
      <w:pPr>
        <w:spacing w:after="200"/>
        <w:rPr>
          <w:sz w:val="28"/>
          <w:szCs w:val="28"/>
        </w:rPr>
      </w:pPr>
    </w:p>
    <w:p w:rsidR="00DF56AC" w:rsidRDefault="00DF56AC" w:rsidP="00E1369D">
      <w:pPr>
        <w:spacing w:after="200"/>
        <w:rPr>
          <w:sz w:val="28"/>
          <w:szCs w:val="28"/>
        </w:rPr>
      </w:pPr>
    </w:p>
    <w:p w:rsidR="00DF56AC" w:rsidRDefault="00DF56AC" w:rsidP="00E1369D">
      <w:pPr>
        <w:spacing w:after="200"/>
        <w:rPr>
          <w:sz w:val="28"/>
          <w:szCs w:val="28"/>
        </w:rPr>
      </w:pPr>
    </w:p>
    <w:p w:rsidR="007D219E" w:rsidRDefault="007D219E" w:rsidP="00E1369D">
      <w:pPr>
        <w:spacing w:after="200"/>
        <w:rPr>
          <w:sz w:val="28"/>
          <w:szCs w:val="28"/>
        </w:rPr>
      </w:pPr>
    </w:p>
    <w:p w:rsidR="00DF56AC" w:rsidRDefault="00DF56AC" w:rsidP="00E1369D">
      <w:pPr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Калининград, Россия</w:t>
      </w:r>
    </w:p>
    <w:p w:rsidR="005A1A8F" w:rsidRDefault="00DF56AC" w:rsidP="007D219E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</w:p>
    <w:p w:rsidR="005A1A8F" w:rsidRPr="004D5F3B" w:rsidRDefault="005A1A8F" w:rsidP="005A1A8F">
      <w:pPr>
        <w:tabs>
          <w:tab w:val="left" w:pos="1985"/>
        </w:tabs>
        <w:jc w:val="left"/>
        <w:rPr>
          <w:sz w:val="28"/>
          <w:szCs w:val="28"/>
        </w:rPr>
      </w:pPr>
      <w:r w:rsidRPr="004D5F3B">
        <w:rPr>
          <w:sz w:val="28"/>
          <w:szCs w:val="28"/>
        </w:rPr>
        <w:t xml:space="preserve">Исполнитель: </w:t>
      </w:r>
      <w:r w:rsidRPr="004D5F3B">
        <w:rPr>
          <w:sz w:val="28"/>
          <w:szCs w:val="28"/>
        </w:rPr>
        <w:tab/>
        <w:t xml:space="preserve">Консорциум в составе: </w:t>
      </w:r>
    </w:p>
    <w:p w:rsidR="005A1A8F" w:rsidRPr="004D5F3B" w:rsidRDefault="005A1A8F" w:rsidP="005A1A8F">
      <w:pPr>
        <w:tabs>
          <w:tab w:val="left" w:pos="1985"/>
        </w:tabs>
        <w:ind w:left="1985" w:hanging="1985"/>
        <w:rPr>
          <w:sz w:val="28"/>
          <w:szCs w:val="28"/>
        </w:rPr>
      </w:pPr>
      <w:r w:rsidRPr="004D5F3B">
        <w:rPr>
          <w:sz w:val="28"/>
          <w:szCs w:val="28"/>
        </w:rPr>
        <w:tab/>
        <w:t>Федеральное государственное бюджетное образовательное учреждение высшего профессионального образования «Калининградский государственный технический университет» (ФГБОУ ВПО «КГТУ),</w:t>
      </w:r>
    </w:p>
    <w:p w:rsidR="005A1A8F" w:rsidRPr="004D5F3B" w:rsidRDefault="005A1A8F" w:rsidP="005A1A8F">
      <w:pPr>
        <w:tabs>
          <w:tab w:val="left" w:pos="1985"/>
          <w:tab w:val="left" w:pos="2552"/>
        </w:tabs>
        <w:ind w:left="1985" w:hanging="1985"/>
        <w:rPr>
          <w:caps/>
          <w:sz w:val="28"/>
          <w:szCs w:val="28"/>
        </w:rPr>
      </w:pPr>
      <w:r w:rsidRPr="004D5F3B">
        <w:rPr>
          <w:sz w:val="28"/>
          <w:szCs w:val="28"/>
        </w:rPr>
        <w:tab/>
        <w:t>Негосударственное образовательное учреждение высшего профессионального образования «Балтийский институт экономики и финансов» (НОУ ВПО «БИЭФ»)</w:t>
      </w:r>
    </w:p>
    <w:p w:rsidR="005A1A8F" w:rsidRDefault="005A1A8F" w:rsidP="005A1A8F">
      <w:pPr>
        <w:rPr>
          <w:sz w:val="28"/>
          <w:szCs w:val="28"/>
        </w:rPr>
      </w:pPr>
    </w:p>
    <w:p w:rsidR="005A1A8F" w:rsidRPr="004D5F3B" w:rsidRDefault="005A1A8F" w:rsidP="005A1A8F">
      <w:pPr>
        <w:tabs>
          <w:tab w:val="left" w:pos="1985"/>
        </w:tabs>
        <w:ind w:left="1985" w:hanging="1985"/>
        <w:rPr>
          <w:sz w:val="28"/>
          <w:szCs w:val="28"/>
        </w:rPr>
      </w:pPr>
      <w:r>
        <w:rPr>
          <w:sz w:val="28"/>
          <w:szCs w:val="28"/>
        </w:rPr>
        <w:t xml:space="preserve">Контракт: </w:t>
      </w:r>
      <w:r>
        <w:rPr>
          <w:sz w:val="28"/>
          <w:szCs w:val="28"/>
        </w:rPr>
        <w:tab/>
      </w:r>
      <w:r w:rsidRPr="004D5F3B">
        <w:rPr>
          <w:sz w:val="28"/>
          <w:szCs w:val="28"/>
        </w:rPr>
        <w:t>FEFLP-K/CQS-9 «Разработка, апробация и реализация образовательного курса по финансовой грамотности для “школ третьего возраста” Калининградской области»</w:t>
      </w:r>
    </w:p>
    <w:p w:rsidR="005A1A8F" w:rsidRDefault="005A1A8F" w:rsidP="005A1A8F">
      <w:pPr>
        <w:jc w:val="left"/>
        <w:rPr>
          <w:caps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1951"/>
        <w:gridCol w:w="7655"/>
      </w:tblGrid>
      <w:tr w:rsidR="000E161E" w:rsidRPr="001B4706" w:rsidTr="0036581C">
        <w:tc>
          <w:tcPr>
            <w:tcW w:w="1951" w:type="dxa"/>
            <w:vMerge w:val="restart"/>
          </w:tcPr>
          <w:p w:rsidR="000E161E" w:rsidRPr="001B4706" w:rsidRDefault="000E161E" w:rsidP="0036581C">
            <w:pPr>
              <w:tabs>
                <w:tab w:val="center" w:pos="10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Авторский коллектив:</w:t>
            </w:r>
          </w:p>
        </w:tc>
        <w:tc>
          <w:tcPr>
            <w:tcW w:w="7655" w:type="dxa"/>
            <w:vAlign w:val="center"/>
          </w:tcPr>
          <w:p w:rsidR="000E161E" w:rsidRPr="004F2D6D" w:rsidRDefault="000E161E" w:rsidP="0036581C">
            <w:p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Мнацаканян</w:t>
            </w:r>
            <w:proofErr w:type="spellEnd"/>
            <w:r>
              <w:rPr>
                <w:sz w:val="28"/>
                <w:szCs w:val="28"/>
              </w:rPr>
              <w:t xml:space="preserve"> А. Г. д. э. н., профессор</w:t>
            </w:r>
          </w:p>
        </w:tc>
      </w:tr>
      <w:tr w:rsidR="000E161E" w:rsidRPr="001B4706" w:rsidTr="0036581C">
        <w:trPr>
          <w:trHeight w:val="337"/>
        </w:trPr>
        <w:tc>
          <w:tcPr>
            <w:tcW w:w="1951" w:type="dxa"/>
            <w:vMerge/>
            <w:vAlign w:val="bottom"/>
          </w:tcPr>
          <w:p w:rsidR="000E161E" w:rsidRPr="001B4706" w:rsidRDefault="000E161E" w:rsidP="0036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:rsidR="000E161E" w:rsidRPr="004F2D6D" w:rsidRDefault="000E161E" w:rsidP="0036581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Карлов А. М., д. ф.-м. н., профессор</w:t>
            </w:r>
          </w:p>
        </w:tc>
      </w:tr>
      <w:tr w:rsidR="000E161E" w:rsidRPr="001B4706" w:rsidTr="0036581C">
        <w:tc>
          <w:tcPr>
            <w:tcW w:w="1951" w:type="dxa"/>
            <w:vMerge/>
          </w:tcPr>
          <w:p w:rsidR="000E161E" w:rsidRPr="001B4706" w:rsidRDefault="000E161E" w:rsidP="0036581C"/>
        </w:tc>
        <w:tc>
          <w:tcPr>
            <w:tcW w:w="7655" w:type="dxa"/>
            <w:vAlign w:val="center"/>
          </w:tcPr>
          <w:p w:rsidR="000E161E" w:rsidRPr="004F2D6D" w:rsidRDefault="000E161E" w:rsidP="0036581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Евстафьев К. А., ст. преподаватель</w:t>
            </w:r>
          </w:p>
        </w:tc>
      </w:tr>
      <w:tr w:rsidR="000E161E" w:rsidRPr="001B4706" w:rsidTr="0036581C">
        <w:tc>
          <w:tcPr>
            <w:tcW w:w="1951" w:type="dxa"/>
            <w:vMerge/>
          </w:tcPr>
          <w:p w:rsidR="000E161E" w:rsidRPr="001B4706" w:rsidRDefault="000E161E" w:rsidP="0036581C"/>
        </w:tc>
        <w:tc>
          <w:tcPr>
            <w:tcW w:w="7655" w:type="dxa"/>
            <w:vAlign w:val="center"/>
          </w:tcPr>
          <w:p w:rsidR="000E161E" w:rsidRDefault="000E161E" w:rsidP="0036581C">
            <w:pPr>
              <w:jc w:val="left"/>
              <w:rPr>
                <w:sz w:val="28"/>
                <w:szCs w:val="28"/>
              </w:rPr>
            </w:pPr>
            <w:r w:rsidRPr="00360E69">
              <w:rPr>
                <w:sz w:val="28"/>
                <w:szCs w:val="28"/>
              </w:rPr>
              <w:t>Зубарев Г. Г.</w:t>
            </w:r>
          </w:p>
        </w:tc>
      </w:tr>
      <w:tr w:rsidR="000E161E" w:rsidRPr="001B4706" w:rsidTr="0036581C">
        <w:tc>
          <w:tcPr>
            <w:tcW w:w="1951" w:type="dxa"/>
            <w:vMerge/>
          </w:tcPr>
          <w:p w:rsidR="000E161E" w:rsidRPr="001B4706" w:rsidRDefault="000E161E" w:rsidP="0036581C"/>
        </w:tc>
        <w:tc>
          <w:tcPr>
            <w:tcW w:w="7655" w:type="dxa"/>
            <w:vAlign w:val="center"/>
          </w:tcPr>
          <w:p w:rsidR="000E161E" w:rsidRDefault="000E161E" w:rsidP="0036581C">
            <w:pPr>
              <w:jc w:val="left"/>
              <w:rPr>
                <w:sz w:val="28"/>
                <w:szCs w:val="28"/>
              </w:rPr>
            </w:pPr>
            <w:r w:rsidRPr="004F2D6D">
              <w:rPr>
                <w:sz w:val="28"/>
                <w:szCs w:val="28"/>
              </w:rPr>
              <w:t>Тихонов А. Я. к. э. н., доцент</w:t>
            </w:r>
          </w:p>
        </w:tc>
      </w:tr>
      <w:tr w:rsidR="000E161E" w:rsidRPr="001B4706" w:rsidTr="0036581C">
        <w:tc>
          <w:tcPr>
            <w:tcW w:w="1951" w:type="dxa"/>
            <w:vMerge/>
          </w:tcPr>
          <w:p w:rsidR="000E161E" w:rsidRPr="001B4706" w:rsidRDefault="000E161E" w:rsidP="0036581C"/>
        </w:tc>
        <w:tc>
          <w:tcPr>
            <w:tcW w:w="7655" w:type="dxa"/>
            <w:vAlign w:val="center"/>
          </w:tcPr>
          <w:p w:rsidR="000E161E" w:rsidRPr="000E161E" w:rsidRDefault="000E161E" w:rsidP="00E716F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24585">
              <w:rPr>
                <w:sz w:val="28"/>
                <w:szCs w:val="28"/>
              </w:rPr>
              <w:t>отенко А. Г</w:t>
            </w:r>
            <w:r>
              <w:rPr>
                <w:sz w:val="28"/>
                <w:szCs w:val="28"/>
              </w:rPr>
              <w:t>., ст. преподаватель</w:t>
            </w:r>
          </w:p>
        </w:tc>
      </w:tr>
      <w:tr w:rsidR="000E161E" w:rsidRPr="001B4706" w:rsidTr="0036581C">
        <w:tc>
          <w:tcPr>
            <w:tcW w:w="1951" w:type="dxa"/>
            <w:vMerge/>
          </w:tcPr>
          <w:p w:rsidR="000E161E" w:rsidRPr="001B4706" w:rsidRDefault="000E161E" w:rsidP="0036581C"/>
        </w:tc>
        <w:tc>
          <w:tcPr>
            <w:tcW w:w="7655" w:type="dxa"/>
            <w:vAlign w:val="center"/>
          </w:tcPr>
          <w:p w:rsidR="000E161E" w:rsidRDefault="000E161E" w:rsidP="00E716FD">
            <w:pPr>
              <w:jc w:val="left"/>
              <w:rPr>
                <w:sz w:val="28"/>
                <w:szCs w:val="28"/>
              </w:rPr>
            </w:pPr>
            <w:r w:rsidRPr="00E24585">
              <w:rPr>
                <w:sz w:val="28"/>
                <w:szCs w:val="28"/>
              </w:rPr>
              <w:t>Мартыненко О. В.</w:t>
            </w:r>
            <w:r>
              <w:rPr>
                <w:sz w:val="28"/>
                <w:szCs w:val="28"/>
              </w:rPr>
              <w:t>,</w:t>
            </w:r>
            <w:r w:rsidRPr="00E24585">
              <w:rPr>
                <w:sz w:val="28"/>
                <w:szCs w:val="28"/>
              </w:rPr>
              <w:t xml:space="preserve"> к. э. н.</w:t>
            </w:r>
            <w:r>
              <w:rPr>
                <w:sz w:val="28"/>
                <w:szCs w:val="28"/>
              </w:rPr>
              <w:t>, доцент</w:t>
            </w:r>
          </w:p>
        </w:tc>
      </w:tr>
      <w:tr w:rsidR="000E161E" w:rsidRPr="001B4706" w:rsidTr="0036581C">
        <w:tc>
          <w:tcPr>
            <w:tcW w:w="1951" w:type="dxa"/>
            <w:vMerge/>
          </w:tcPr>
          <w:p w:rsidR="000E161E" w:rsidRPr="001B4706" w:rsidRDefault="000E161E" w:rsidP="0036581C"/>
        </w:tc>
        <w:tc>
          <w:tcPr>
            <w:tcW w:w="7655" w:type="dxa"/>
            <w:vAlign w:val="center"/>
          </w:tcPr>
          <w:p w:rsidR="000E161E" w:rsidRPr="00E24585" w:rsidRDefault="000E161E" w:rsidP="00E716FD">
            <w:pPr>
              <w:jc w:val="left"/>
              <w:rPr>
                <w:sz w:val="28"/>
                <w:szCs w:val="28"/>
              </w:rPr>
            </w:pPr>
            <w:proofErr w:type="spellStart"/>
            <w:r w:rsidRPr="00E24585">
              <w:rPr>
                <w:sz w:val="28"/>
                <w:szCs w:val="28"/>
              </w:rPr>
              <w:t>Мосейко</w:t>
            </w:r>
            <w:proofErr w:type="spellEnd"/>
            <w:r w:rsidRPr="00E24585">
              <w:rPr>
                <w:sz w:val="28"/>
                <w:szCs w:val="28"/>
              </w:rPr>
              <w:t xml:space="preserve"> В. В.</w:t>
            </w:r>
            <w:r>
              <w:rPr>
                <w:sz w:val="28"/>
                <w:szCs w:val="28"/>
              </w:rPr>
              <w:t>, к.э.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</w:tbl>
    <w:p w:rsidR="005A1A8F" w:rsidRDefault="005A1A8F" w:rsidP="005A1A8F">
      <w:pPr>
        <w:jc w:val="left"/>
        <w:rPr>
          <w:caps/>
        </w:rPr>
      </w:pPr>
    </w:p>
    <w:p w:rsidR="005A1A8F" w:rsidRDefault="005A1A8F" w:rsidP="005A1A8F">
      <w:pPr>
        <w:tabs>
          <w:tab w:val="left" w:pos="4086"/>
        </w:tabs>
        <w:jc w:val="left"/>
        <w:rPr>
          <w:caps/>
        </w:rPr>
      </w:pPr>
      <w:r>
        <w:rPr>
          <w:caps/>
        </w:rPr>
        <w:tab/>
      </w:r>
    </w:p>
    <w:p w:rsidR="005A1A8F" w:rsidRDefault="005A1A8F" w:rsidP="005A1A8F">
      <w:pPr>
        <w:tabs>
          <w:tab w:val="left" w:pos="4086"/>
        </w:tabs>
        <w:jc w:val="left"/>
        <w:rPr>
          <w:caps/>
        </w:rPr>
      </w:pPr>
    </w:p>
    <w:p w:rsidR="005A1A8F" w:rsidRDefault="005A1A8F" w:rsidP="005A1A8F">
      <w:pPr>
        <w:tabs>
          <w:tab w:val="left" w:pos="4086"/>
        </w:tabs>
        <w:jc w:val="left"/>
        <w:rPr>
          <w:caps/>
        </w:rPr>
      </w:pPr>
    </w:p>
    <w:p w:rsidR="005A1A8F" w:rsidRPr="004D5F3B" w:rsidRDefault="005A1A8F" w:rsidP="005A1A8F">
      <w:pPr>
        <w:tabs>
          <w:tab w:val="left" w:pos="4086"/>
        </w:tabs>
        <w:jc w:val="left"/>
        <w:rPr>
          <w:caps/>
        </w:rPr>
      </w:pPr>
    </w:p>
    <w:p w:rsidR="005A1A8F" w:rsidRPr="004D5F3B" w:rsidRDefault="005A1A8F" w:rsidP="005A1A8F">
      <w:pPr>
        <w:tabs>
          <w:tab w:val="left" w:pos="5743"/>
        </w:tabs>
        <w:jc w:val="left"/>
        <w:rPr>
          <w:rFonts w:eastAsia="Times New Roman"/>
          <w:b/>
          <w:bCs/>
          <w:sz w:val="28"/>
          <w:szCs w:val="28"/>
          <w:lang w:eastAsia="ru-RU"/>
        </w:rPr>
      </w:pPr>
      <w:r w:rsidRPr="004D5F3B">
        <w:rPr>
          <w:sz w:val="28"/>
          <w:szCs w:val="28"/>
        </w:rPr>
        <w:t>© Министерство финансов Российской Федерации, 2014</w:t>
      </w:r>
    </w:p>
    <w:p w:rsidR="00DF56AC" w:rsidRPr="007D219E" w:rsidRDefault="00DF56AC" w:rsidP="007D219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2548" w:rsidRPr="00552548" w:rsidRDefault="00552548" w:rsidP="00552548">
      <w:pPr>
        <w:jc w:val="center"/>
        <w:rPr>
          <w:b/>
          <w:sz w:val="28"/>
          <w:szCs w:val="28"/>
        </w:rPr>
      </w:pPr>
      <w:r w:rsidRPr="00552548">
        <w:rPr>
          <w:b/>
          <w:sz w:val="28"/>
          <w:szCs w:val="28"/>
        </w:rPr>
        <w:lastRenderedPageBreak/>
        <w:t>Оглавление</w:t>
      </w:r>
    </w:p>
    <w:p w:rsidR="00552548" w:rsidRPr="00552548" w:rsidRDefault="00552548">
      <w:pPr>
        <w:jc w:val="left"/>
        <w:rPr>
          <w:sz w:val="28"/>
          <w:szCs w:val="28"/>
        </w:rPr>
      </w:pPr>
    </w:p>
    <w:p w:rsidR="00094C61" w:rsidRPr="007A173C" w:rsidRDefault="00094C61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</w:p>
    <w:p w:rsidR="00267375" w:rsidRPr="00267375" w:rsidRDefault="00267375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 w:rsidRPr="00267375">
        <w:rPr>
          <w:sz w:val="28"/>
          <w:szCs w:val="28"/>
        </w:rPr>
        <w:t>Пояснительная записка</w:t>
      </w:r>
      <w:r w:rsidRPr="00267375">
        <w:rPr>
          <w:sz w:val="28"/>
          <w:szCs w:val="28"/>
        </w:rPr>
        <w:tab/>
        <w:t>4</w:t>
      </w:r>
    </w:p>
    <w:p w:rsidR="00267375" w:rsidRPr="00267375" w:rsidRDefault="00267375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 w:rsidRPr="00267375">
        <w:rPr>
          <w:sz w:val="28"/>
          <w:szCs w:val="28"/>
        </w:rPr>
        <w:t>Режим обучения</w:t>
      </w:r>
      <w:r w:rsidRPr="00267375">
        <w:rPr>
          <w:sz w:val="28"/>
          <w:szCs w:val="28"/>
        </w:rPr>
        <w:tab/>
        <w:t>20</w:t>
      </w:r>
    </w:p>
    <w:p w:rsidR="00267375" w:rsidRPr="00267375" w:rsidRDefault="00267375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 w:rsidRPr="00267375">
        <w:rPr>
          <w:sz w:val="28"/>
          <w:szCs w:val="28"/>
        </w:rPr>
        <w:t>Используемые формы обучения</w:t>
      </w:r>
      <w:r w:rsidRPr="00267375">
        <w:rPr>
          <w:sz w:val="28"/>
          <w:szCs w:val="28"/>
        </w:rPr>
        <w:tab/>
        <w:t>20</w:t>
      </w:r>
    </w:p>
    <w:p w:rsidR="00267375" w:rsidRPr="00267375" w:rsidRDefault="00267375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 w:rsidRPr="00267375">
        <w:rPr>
          <w:sz w:val="28"/>
          <w:szCs w:val="28"/>
        </w:rPr>
        <w:t>Учебно-тематический план</w:t>
      </w:r>
      <w:r w:rsidRPr="00267375">
        <w:rPr>
          <w:sz w:val="28"/>
          <w:szCs w:val="28"/>
        </w:rPr>
        <w:tab/>
        <w:t>21</w:t>
      </w:r>
    </w:p>
    <w:p w:rsidR="00267375" w:rsidRPr="00267375" w:rsidRDefault="00267375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 w:rsidRPr="00267375">
        <w:rPr>
          <w:sz w:val="28"/>
          <w:szCs w:val="28"/>
        </w:rPr>
        <w:t>Количество учебных часов, отводимых на различные формы занятий</w:t>
      </w:r>
      <w:r w:rsidRPr="00267375">
        <w:rPr>
          <w:sz w:val="28"/>
          <w:szCs w:val="28"/>
        </w:rPr>
        <w:tab/>
        <w:t>22</w:t>
      </w:r>
    </w:p>
    <w:p w:rsidR="00267375" w:rsidRPr="00267375" w:rsidRDefault="00267375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 w:rsidRPr="00267375">
        <w:rPr>
          <w:sz w:val="28"/>
          <w:szCs w:val="28"/>
        </w:rPr>
        <w:t>Формы и виды контроля</w:t>
      </w:r>
      <w:r w:rsidRPr="00267375">
        <w:rPr>
          <w:sz w:val="28"/>
          <w:szCs w:val="28"/>
        </w:rPr>
        <w:tab/>
        <w:t>22</w:t>
      </w:r>
    </w:p>
    <w:p w:rsidR="00267375" w:rsidRDefault="00267375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 w:rsidRPr="00267375">
        <w:rPr>
          <w:sz w:val="28"/>
          <w:szCs w:val="28"/>
        </w:rPr>
        <w:t>Механизм привлечения слушателей</w:t>
      </w:r>
      <w:r w:rsidRPr="00267375">
        <w:rPr>
          <w:sz w:val="28"/>
          <w:szCs w:val="28"/>
        </w:rPr>
        <w:tab/>
        <w:t>24</w:t>
      </w:r>
    </w:p>
    <w:p w:rsidR="00094C61" w:rsidRDefault="00094C61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</w:p>
    <w:p w:rsidR="00094C61" w:rsidRPr="00094C61" w:rsidRDefault="00267375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Содержание программы</w:t>
      </w:r>
      <w:r w:rsidR="00094C61">
        <w:rPr>
          <w:sz w:val="28"/>
          <w:szCs w:val="28"/>
        </w:rPr>
        <w:t>, используемые источники и технические средства обучения, квалификационные требования к привлекаемым преподавателям</w:t>
      </w:r>
    </w:p>
    <w:p w:rsidR="00267375" w:rsidRDefault="00094C61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Модуль 1</w:t>
      </w:r>
      <w:r>
        <w:rPr>
          <w:sz w:val="28"/>
          <w:szCs w:val="28"/>
        </w:rPr>
        <w:tab/>
      </w:r>
      <w:r w:rsidR="00267375">
        <w:rPr>
          <w:sz w:val="28"/>
          <w:szCs w:val="28"/>
        </w:rPr>
        <w:t>Документ «М</w:t>
      </w:r>
      <w:proofErr w:type="gramStart"/>
      <w:r w:rsidR="00267375">
        <w:rPr>
          <w:sz w:val="28"/>
          <w:szCs w:val="28"/>
        </w:rPr>
        <w:t>1</w:t>
      </w:r>
      <w:proofErr w:type="gramEnd"/>
      <w:r w:rsidR="00267375">
        <w:rPr>
          <w:sz w:val="28"/>
          <w:szCs w:val="28"/>
        </w:rPr>
        <w:t>.</w:t>
      </w:r>
      <w:r>
        <w:rPr>
          <w:sz w:val="28"/>
          <w:szCs w:val="28"/>
        </w:rPr>
        <w:t>Финансовое планирование</w:t>
      </w:r>
      <w:r w:rsidR="00267375">
        <w:rPr>
          <w:sz w:val="28"/>
          <w:szCs w:val="28"/>
        </w:rPr>
        <w:t>.</w:t>
      </w:r>
      <w:r w:rsidR="00267375">
        <w:rPr>
          <w:sz w:val="28"/>
          <w:szCs w:val="28"/>
          <w:lang w:val="en-US"/>
        </w:rPr>
        <w:t>doc</w:t>
      </w:r>
      <w:r w:rsidR="00267375">
        <w:rPr>
          <w:sz w:val="28"/>
          <w:szCs w:val="28"/>
        </w:rPr>
        <w:t>»</w:t>
      </w:r>
    </w:p>
    <w:p w:rsidR="00094C61" w:rsidRDefault="00094C61" w:rsidP="00094C61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Модуль 2</w:t>
      </w:r>
      <w:r>
        <w:rPr>
          <w:sz w:val="28"/>
          <w:szCs w:val="28"/>
        </w:rPr>
        <w:tab/>
        <w:t>Документ «М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.Услуги коммерческих банков.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</w:t>
      </w:r>
    </w:p>
    <w:p w:rsidR="00094C61" w:rsidRDefault="00094C61" w:rsidP="00094C61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Модуль 3</w:t>
      </w:r>
      <w:r>
        <w:rPr>
          <w:sz w:val="28"/>
          <w:szCs w:val="28"/>
        </w:rPr>
        <w:tab/>
        <w:t>Документ «М3.Общественные финансы.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</w:t>
      </w:r>
    </w:p>
    <w:p w:rsidR="00094C61" w:rsidRPr="007A173C" w:rsidRDefault="00094C61" w:rsidP="00094C61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</w:p>
    <w:p w:rsidR="00094C61" w:rsidRDefault="00094C61" w:rsidP="00094C61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</w:p>
    <w:p w:rsidR="00094C61" w:rsidRPr="00E716FD" w:rsidRDefault="00094C61" w:rsidP="00094C61">
      <w:pPr>
        <w:tabs>
          <w:tab w:val="right" w:leader="dot" w:pos="9072"/>
        </w:tabs>
        <w:spacing w:line="360" w:lineRule="auto"/>
        <w:ind w:right="6237"/>
        <w:jc w:val="left"/>
        <w:rPr>
          <w:sz w:val="28"/>
          <w:szCs w:val="28"/>
        </w:rPr>
      </w:pPr>
      <w:r>
        <w:rPr>
          <w:sz w:val="28"/>
          <w:szCs w:val="28"/>
        </w:rPr>
        <w:t>Раздаточный материал модуля 1</w:t>
      </w:r>
      <w:r>
        <w:rPr>
          <w:sz w:val="28"/>
          <w:szCs w:val="28"/>
        </w:rPr>
        <w:tab/>
        <w:t>Документ «М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 Раздаточный материал.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</w:t>
      </w:r>
    </w:p>
    <w:p w:rsidR="00094C61" w:rsidRDefault="00094C61" w:rsidP="00094C61">
      <w:pPr>
        <w:tabs>
          <w:tab w:val="right" w:leader="dot" w:pos="9072"/>
        </w:tabs>
        <w:spacing w:line="360" w:lineRule="auto"/>
        <w:ind w:right="623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Раздаточный материал модуля </w:t>
      </w:r>
      <w:r w:rsidRPr="00094C61">
        <w:rPr>
          <w:sz w:val="28"/>
          <w:szCs w:val="28"/>
        </w:rPr>
        <w:t>2</w:t>
      </w:r>
      <w:r>
        <w:rPr>
          <w:sz w:val="28"/>
          <w:szCs w:val="28"/>
        </w:rPr>
        <w:tab/>
        <w:t>Документ «М</w:t>
      </w:r>
      <w:proofErr w:type="gramStart"/>
      <w:r w:rsidRPr="00094C61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 Раздаточный материал.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</w:t>
      </w:r>
    </w:p>
    <w:p w:rsidR="00094C61" w:rsidRDefault="00094C61" w:rsidP="00094C61">
      <w:pPr>
        <w:tabs>
          <w:tab w:val="right" w:leader="dot" w:pos="9072"/>
        </w:tabs>
        <w:spacing w:line="360" w:lineRule="auto"/>
        <w:ind w:right="6237"/>
        <w:jc w:val="left"/>
        <w:rPr>
          <w:sz w:val="28"/>
          <w:szCs w:val="28"/>
        </w:rPr>
      </w:pPr>
      <w:r>
        <w:rPr>
          <w:sz w:val="28"/>
          <w:szCs w:val="28"/>
        </w:rPr>
        <w:t>Раздаточный материал модуля 3</w:t>
      </w:r>
      <w:r>
        <w:rPr>
          <w:sz w:val="28"/>
          <w:szCs w:val="28"/>
        </w:rPr>
        <w:tab/>
        <w:t>Документ «М3. раздаточный материал.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»</w:t>
      </w:r>
    </w:p>
    <w:p w:rsidR="00094C61" w:rsidRPr="007A173C" w:rsidRDefault="00094C61" w:rsidP="00094C61">
      <w:pPr>
        <w:tabs>
          <w:tab w:val="right" w:leader="dot" w:pos="9072"/>
        </w:tabs>
        <w:spacing w:line="360" w:lineRule="auto"/>
        <w:ind w:right="3543"/>
        <w:jc w:val="left"/>
        <w:rPr>
          <w:sz w:val="28"/>
          <w:szCs w:val="28"/>
        </w:rPr>
      </w:pPr>
      <w:r>
        <w:rPr>
          <w:sz w:val="28"/>
          <w:szCs w:val="28"/>
        </w:rPr>
        <w:t>Презентационный материал модуля 1</w:t>
      </w:r>
      <w:r>
        <w:rPr>
          <w:sz w:val="28"/>
          <w:szCs w:val="28"/>
        </w:rPr>
        <w:tab/>
        <w:t>Документ «М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pptx</w:t>
      </w:r>
      <w:proofErr w:type="spellEnd"/>
      <w:r>
        <w:rPr>
          <w:sz w:val="28"/>
          <w:szCs w:val="28"/>
        </w:rPr>
        <w:t>»</w:t>
      </w:r>
    </w:p>
    <w:p w:rsidR="00094C61" w:rsidRDefault="00094C61" w:rsidP="00094C61">
      <w:pPr>
        <w:tabs>
          <w:tab w:val="right" w:leader="dot" w:pos="9072"/>
        </w:tabs>
        <w:spacing w:line="360" w:lineRule="auto"/>
        <w:ind w:right="354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Презентационный материал модуля </w:t>
      </w:r>
      <w:r w:rsidRPr="00094C61">
        <w:rPr>
          <w:sz w:val="28"/>
          <w:szCs w:val="28"/>
        </w:rPr>
        <w:t>2</w:t>
      </w:r>
      <w:r>
        <w:rPr>
          <w:sz w:val="28"/>
          <w:szCs w:val="28"/>
        </w:rPr>
        <w:tab/>
        <w:t>Документ «М</w:t>
      </w:r>
      <w:proofErr w:type="gramStart"/>
      <w:r w:rsidRPr="00094C61"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pptx</w:t>
      </w:r>
      <w:proofErr w:type="spellEnd"/>
      <w:r>
        <w:rPr>
          <w:sz w:val="28"/>
          <w:szCs w:val="28"/>
        </w:rPr>
        <w:t>»</w:t>
      </w:r>
    </w:p>
    <w:p w:rsidR="00094C61" w:rsidRDefault="00094C61" w:rsidP="00094C61">
      <w:pPr>
        <w:tabs>
          <w:tab w:val="right" w:leader="dot" w:pos="9072"/>
        </w:tabs>
        <w:spacing w:line="360" w:lineRule="auto"/>
        <w:ind w:right="354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Презентационный материал модуля </w:t>
      </w:r>
      <w:r w:rsidRPr="00094C61">
        <w:rPr>
          <w:sz w:val="28"/>
          <w:szCs w:val="28"/>
        </w:rPr>
        <w:t>3</w:t>
      </w:r>
      <w:r>
        <w:rPr>
          <w:sz w:val="28"/>
          <w:szCs w:val="28"/>
        </w:rPr>
        <w:tab/>
        <w:t>Документ «М</w:t>
      </w:r>
      <w:r w:rsidRPr="00094C61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pptx</w:t>
      </w:r>
      <w:proofErr w:type="spellEnd"/>
      <w:r>
        <w:rPr>
          <w:sz w:val="28"/>
          <w:szCs w:val="28"/>
        </w:rPr>
        <w:t>»</w:t>
      </w:r>
    </w:p>
    <w:p w:rsidR="00094C61" w:rsidRPr="00267375" w:rsidRDefault="00094C61" w:rsidP="00094C61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</w:p>
    <w:p w:rsidR="00094C61" w:rsidRPr="00267375" w:rsidRDefault="00094C61" w:rsidP="00094C61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</w:p>
    <w:p w:rsidR="00094C61" w:rsidRPr="00267375" w:rsidRDefault="00094C61" w:rsidP="00267375">
      <w:pPr>
        <w:tabs>
          <w:tab w:val="right" w:leader="dot" w:pos="9072"/>
        </w:tabs>
        <w:spacing w:line="360" w:lineRule="auto"/>
        <w:jc w:val="left"/>
        <w:rPr>
          <w:sz w:val="28"/>
          <w:szCs w:val="28"/>
        </w:rPr>
      </w:pPr>
    </w:p>
    <w:p w:rsidR="00552548" w:rsidRPr="00267375" w:rsidRDefault="00552548" w:rsidP="00267375">
      <w:pPr>
        <w:tabs>
          <w:tab w:val="right" w:leader="dot" w:pos="9072"/>
        </w:tabs>
        <w:spacing w:line="360" w:lineRule="auto"/>
        <w:jc w:val="left"/>
        <w:rPr>
          <w:rFonts w:eastAsiaTheme="majorEastAsia"/>
          <w:b/>
          <w:bCs/>
          <w:sz w:val="28"/>
          <w:szCs w:val="28"/>
        </w:rPr>
      </w:pPr>
      <w:r w:rsidRPr="00267375">
        <w:rPr>
          <w:sz w:val="28"/>
          <w:szCs w:val="28"/>
        </w:rPr>
        <w:br w:type="page"/>
      </w:r>
    </w:p>
    <w:p w:rsidR="00DF56AC" w:rsidRPr="00552548" w:rsidRDefault="00552548" w:rsidP="00552548">
      <w:pPr>
        <w:pStyle w:val="1"/>
      </w:pPr>
      <w:bookmarkStart w:id="1" w:name="_Toc414614691"/>
      <w:r w:rsidRPr="00552548">
        <w:lastRenderedPageBreak/>
        <w:t>Пояснительная записка</w:t>
      </w:r>
      <w:bookmarkEnd w:id="1"/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Модульная образовательная программа финансовой грамотности для «школ третьего возраста» разработана </w:t>
      </w:r>
      <w:r w:rsidRPr="009C31D8">
        <w:rPr>
          <w:sz w:val="28"/>
          <w:szCs w:val="28"/>
        </w:rPr>
        <w:t xml:space="preserve">Консорциумом в составе: </w:t>
      </w:r>
      <w:proofErr w:type="gramStart"/>
      <w:r w:rsidRPr="009C31D8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«Калининградский государственный технический университет» (ФГБОУ ВПО «КГТУ») (лидер консорциума, Россия) и Негосударственное образовательное учреждение высшего профессионального образования «Балтийский институт экономики и финансов» (НОУ ВПО «БИЭФ», Россия)</w:t>
      </w:r>
      <w:r>
        <w:rPr>
          <w:sz w:val="28"/>
          <w:szCs w:val="28"/>
        </w:rPr>
        <w:t xml:space="preserve"> в соответствии с техническим заданием к контракту № </w:t>
      </w:r>
      <w:r w:rsidRPr="009C31D8">
        <w:rPr>
          <w:sz w:val="28"/>
          <w:szCs w:val="28"/>
        </w:rPr>
        <w:t>FEFLP-K/CQS-9</w:t>
      </w:r>
      <w:r>
        <w:rPr>
          <w:sz w:val="28"/>
          <w:szCs w:val="28"/>
        </w:rPr>
        <w:t xml:space="preserve"> от 25 октября 2013 года </w:t>
      </w:r>
      <w:r w:rsidRPr="009C31D8">
        <w:rPr>
          <w:sz w:val="28"/>
          <w:szCs w:val="28"/>
        </w:rPr>
        <w:t>«Разработка, апробация и реализация образовательного курса по финансовой грамотности для “школ третьего</w:t>
      </w:r>
      <w:proofErr w:type="gramEnd"/>
      <w:r w:rsidRPr="009C31D8">
        <w:rPr>
          <w:sz w:val="28"/>
          <w:szCs w:val="28"/>
        </w:rPr>
        <w:t xml:space="preserve"> возраста” Калининградской области»</w:t>
      </w:r>
      <w:r>
        <w:rPr>
          <w:sz w:val="28"/>
          <w:szCs w:val="28"/>
        </w:rPr>
        <w:t xml:space="preserve">. </w:t>
      </w:r>
    </w:p>
    <w:p w:rsidR="00DF56AC" w:rsidRDefault="00DF56AC" w:rsidP="00E4353D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Целью программы является развитие отдельных компетенций финансовой грамотности лиц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и пенсионного возраста, способствование формированию базовых знаний и навыков деятельности в сферах финансовых отношений, затрагивающих интересы целевой аудитории.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пояснительную записку к программе </w:t>
      </w:r>
      <w:proofErr w:type="gramStart"/>
      <w:r>
        <w:rPr>
          <w:sz w:val="28"/>
          <w:szCs w:val="28"/>
        </w:rPr>
        <w:t>включены</w:t>
      </w:r>
      <w:proofErr w:type="gramEnd"/>
      <w:r>
        <w:rPr>
          <w:sz w:val="28"/>
          <w:szCs w:val="28"/>
        </w:rPr>
        <w:t>: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Обоснование актуальности проблемы повышения финансовой грамотности с учетом характеристики целевой аудитории и региональных особенностей;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Характеристика целевой аудитории;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 Модель компетенций и соответствующая ей структура программы;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 Мотивационная модель к освоению программы;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5) Формы и объем учебных занятий, контроля; 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 Механизм привлечения слушателей.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DF56AC" w:rsidRPr="00AC0AC8" w:rsidRDefault="00DF56AC" w:rsidP="00AC0AC8">
      <w:pPr>
        <w:pStyle w:val="3"/>
      </w:pPr>
      <w:r>
        <w:br w:type="page"/>
      </w:r>
      <w:r w:rsidRPr="00AC0AC8">
        <w:lastRenderedPageBreak/>
        <w:t>Актуальность задачи повышения финансовой грамотности населения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3A1A5F">
        <w:rPr>
          <w:sz w:val="28"/>
          <w:szCs w:val="28"/>
        </w:rPr>
        <w:t xml:space="preserve">Развитие современной рыночной экономики предполагает участие населения в долгосрочных накопительных, пенсионных, страховых и </w:t>
      </w:r>
      <w:proofErr w:type="spellStart"/>
      <w:r>
        <w:rPr>
          <w:sz w:val="28"/>
          <w:szCs w:val="28"/>
        </w:rPr>
        <w:t>кредитныхпрограммах</w:t>
      </w:r>
      <w:proofErr w:type="spellEnd"/>
      <w:r w:rsidRPr="003A1A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направленных на </w:t>
      </w:r>
      <w:r w:rsidRPr="003A1A5F">
        <w:rPr>
          <w:sz w:val="28"/>
          <w:szCs w:val="28"/>
        </w:rPr>
        <w:t>обеспеч</w:t>
      </w:r>
      <w:r>
        <w:rPr>
          <w:sz w:val="28"/>
          <w:szCs w:val="28"/>
        </w:rPr>
        <w:t>ение решения</w:t>
      </w:r>
      <w:r w:rsidRPr="003A1A5F">
        <w:rPr>
          <w:sz w:val="28"/>
          <w:szCs w:val="28"/>
        </w:rPr>
        <w:t xml:space="preserve"> вопросов пенсионного накопления, социального и медицинского страхования, жилищного обеспечения и образования.</w:t>
      </w:r>
      <w:proofErr w:type="gramEnd"/>
      <w:r w:rsidRPr="003A1A5F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Основой для долгосрочного финансового планирования является разумное накопление</w:t>
      </w:r>
      <w:r w:rsidRPr="003A1A5F">
        <w:rPr>
          <w:sz w:val="28"/>
          <w:szCs w:val="28"/>
        </w:rPr>
        <w:t xml:space="preserve"> и рациональное использование сбережений,</w:t>
      </w:r>
      <w:r>
        <w:rPr>
          <w:sz w:val="28"/>
          <w:szCs w:val="28"/>
        </w:rPr>
        <w:t xml:space="preserve"> способствующее </w:t>
      </w:r>
      <w:proofErr w:type="spellStart"/>
      <w:r>
        <w:rPr>
          <w:sz w:val="28"/>
          <w:szCs w:val="28"/>
        </w:rPr>
        <w:t>обеспечениюнеобходимого</w:t>
      </w:r>
      <w:proofErr w:type="spellEnd"/>
      <w:r>
        <w:rPr>
          <w:sz w:val="28"/>
          <w:szCs w:val="28"/>
        </w:rPr>
        <w:t xml:space="preserve"> </w:t>
      </w:r>
      <w:r w:rsidRPr="003A1A5F">
        <w:rPr>
          <w:sz w:val="28"/>
          <w:szCs w:val="28"/>
        </w:rPr>
        <w:t>уровн</w:t>
      </w:r>
      <w:r>
        <w:rPr>
          <w:sz w:val="28"/>
          <w:szCs w:val="28"/>
        </w:rPr>
        <w:t>я</w:t>
      </w:r>
      <w:r w:rsidRPr="003A1A5F">
        <w:rPr>
          <w:sz w:val="28"/>
          <w:szCs w:val="28"/>
        </w:rPr>
        <w:t xml:space="preserve"> экономической и социальной стабильности и </w:t>
      </w:r>
      <w:r>
        <w:rPr>
          <w:sz w:val="28"/>
          <w:szCs w:val="28"/>
        </w:rPr>
        <w:t>закладывающее в масштабах государства</w:t>
      </w:r>
      <w:r w:rsidRPr="003A1A5F">
        <w:rPr>
          <w:sz w:val="28"/>
          <w:szCs w:val="28"/>
        </w:rPr>
        <w:t xml:space="preserve"> основы устойчивости финансовой системы и макроэкономической сбалансированности.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Задача повышения финансовой грамотности</w:t>
      </w:r>
      <w:r>
        <w:rPr>
          <w:sz w:val="28"/>
          <w:szCs w:val="28"/>
        </w:rPr>
        <w:t xml:space="preserve"> населения Российской Федерации в течение последнего времени</w:t>
      </w:r>
      <w:r w:rsidRPr="00241E38">
        <w:rPr>
          <w:sz w:val="28"/>
          <w:szCs w:val="28"/>
        </w:rPr>
        <w:t xml:space="preserve"> рассматривается руководством страны как приоритетная. Повышение финансовой грамотности </w:t>
      </w:r>
      <w:proofErr w:type="spellStart"/>
      <w:r>
        <w:rPr>
          <w:sz w:val="28"/>
          <w:szCs w:val="28"/>
        </w:rPr>
        <w:t>выделяетсяв</w:t>
      </w:r>
      <w:proofErr w:type="spellEnd"/>
      <w:r>
        <w:rPr>
          <w:sz w:val="28"/>
          <w:szCs w:val="28"/>
        </w:rPr>
        <w:t xml:space="preserve"> </w:t>
      </w:r>
      <w:r w:rsidRPr="00241E38">
        <w:rPr>
          <w:sz w:val="28"/>
          <w:szCs w:val="28"/>
        </w:rPr>
        <w:t>Концепции долгосрочного социально-экономического развития Российской Федерации на период до 2020 года</w:t>
      </w:r>
      <w:r w:rsidRPr="00241E38">
        <w:rPr>
          <w:sz w:val="28"/>
          <w:szCs w:val="28"/>
          <w:vertAlign w:val="superscript"/>
        </w:rPr>
        <w:footnoteReference w:id="1"/>
      </w:r>
      <w:r w:rsidRPr="00241E38">
        <w:rPr>
          <w:sz w:val="28"/>
          <w:szCs w:val="28"/>
        </w:rPr>
        <w:t>в качестве одного из основных направлений формирования инвестиционного ресурса.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В Стратегии развития финансового рынка Российской Федерации на период до 2020 года</w:t>
      </w:r>
      <w:r w:rsidRPr="00241E38">
        <w:rPr>
          <w:sz w:val="28"/>
          <w:szCs w:val="28"/>
          <w:vertAlign w:val="superscript"/>
        </w:rPr>
        <w:footnoteReference w:id="2"/>
      </w:r>
      <w:r w:rsidRPr="00241E38">
        <w:rPr>
          <w:sz w:val="28"/>
          <w:szCs w:val="28"/>
        </w:rPr>
        <w:t xml:space="preserve"> повышение финансовой грамотности населения рассматривается в качестве важного фактора развития финансового рынка в Российской Федерации, повышения стабильности финансовой системы и повышения конкурентоспособности российской экономики.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 xml:space="preserve">В рамках решения поставленной задачи Министерством финансов Российской Федерации совместно с рядом федеральных органов исполнительной власти и при участии Всемирного банка подготовлен проект «Содействие повышению уровня финансовой грамотности </w:t>
      </w:r>
      <w:r w:rsidRPr="00241E38">
        <w:rPr>
          <w:sz w:val="28"/>
          <w:szCs w:val="28"/>
        </w:rPr>
        <w:lastRenderedPageBreak/>
        <w:t>населения и развитию финансового образования в Российской Федерации». В соответствии с договором о реализации Проекта № 01-01-06/17-389 от 20 октября 2011 года Калининградская область является пилотным регионом по его реализации. На региональном уровне утверждена</w:t>
      </w:r>
      <w:r w:rsidRPr="00241E38">
        <w:rPr>
          <w:sz w:val="28"/>
          <w:szCs w:val="28"/>
          <w:vertAlign w:val="superscript"/>
        </w:rPr>
        <w:footnoteReference w:id="3"/>
      </w:r>
      <w:r>
        <w:rPr>
          <w:sz w:val="28"/>
          <w:szCs w:val="28"/>
        </w:rPr>
        <w:t xml:space="preserve">и </w:t>
      </w:r>
      <w:r w:rsidRPr="00241E38">
        <w:rPr>
          <w:sz w:val="28"/>
          <w:szCs w:val="28"/>
        </w:rPr>
        <w:t xml:space="preserve">реализуется целевая программа Калининградской области «Повышение уровня финансовой грамотности жителей Калининградской области в 2011-2016 годах». </w:t>
      </w:r>
      <w:proofErr w:type="gramStart"/>
      <w:r w:rsidRPr="00241E38">
        <w:rPr>
          <w:sz w:val="28"/>
          <w:szCs w:val="28"/>
        </w:rPr>
        <w:t>В ней отмечается, что «финансовая грамотность населения Российской Федерации в целом и населения Калининградской области в частности находится на неудовлетворительно низком уровне, что является одной из причин отсутствия класса долгосрочных инвесторов, влечет за собой проблемы финансовой безопасности граждан, угрозы стабильности финансовой системы и</w:t>
      </w:r>
      <w:r>
        <w:rPr>
          <w:sz w:val="28"/>
          <w:szCs w:val="28"/>
        </w:rPr>
        <w:t>,</w:t>
      </w:r>
      <w:r w:rsidRPr="00241E38">
        <w:rPr>
          <w:sz w:val="28"/>
          <w:szCs w:val="28"/>
        </w:rPr>
        <w:t xml:space="preserve"> в конечном счете</w:t>
      </w:r>
      <w:r>
        <w:rPr>
          <w:sz w:val="28"/>
          <w:szCs w:val="28"/>
        </w:rPr>
        <w:t>,</w:t>
      </w:r>
      <w:r w:rsidRPr="00241E38">
        <w:rPr>
          <w:sz w:val="28"/>
          <w:szCs w:val="28"/>
        </w:rPr>
        <w:t xml:space="preserve"> отрицательно сказывается на темпах роста благосостояния населения». </w:t>
      </w:r>
      <w:proofErr w:type="gramEnd"/>
    </w:p>
    <w:p w:rsidR="00DF56AC" w:rsidRPr="00241E38" w:rsidRDefault="00913646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241E38">
        <w:rPr>
          <w:sz w:val="28"/>
          <w:szCs w:val="28"/>
        </w:rPr>
        <w:t xml:space="preserve"> соответствии с  </w:t>
      </w:r>
      <w:r>
        <w:rPr>
          <w:sz w:val="28"/>
          <w:szCs w:val="28"/>
        </w:rPr>
        <w:t>Программой основными т</w:t>
      </w:r>
      <w:r w:rsidR="00DF56AC" w:rsidRPr="00241E38">
        <w:rPr>
          <w:sz w:val="28"/>
          <w:szCs w:val="28"/>
        </w:rPr>
        <w:t>енденциями в области</w:t>
      </w:r>
      <w:r>
        <w:rPr>
          <w:sz w:val="28"/>
          <w:szCs w:val="28"/>
        </w:rPr>
        <w:t xml:space="preserve"> финансовой </w:t>
      </w:r>
      <w:proofErr w:type="spellStart"/>
      <w:r>
        <w:rPr>
          <w:sz w:val="28"/>
          <w:szCs w:val="28"/>
        </w:rPr>
        <w:t>грамотности</w:t>
      </w:r>
      <w:r w:rsidR="00DF56AC">
        <w:rPr>
          <w:sz w:val="28"/>
          <w:szCs w:val="28"/>
        </w:rPr>
        <w:t>выступают</w:t>
      </w:r>
      <w:proofErr w:type="spellEnd"/>
      <w:r w:rsidR="00DF56AC" w:rsidRPr="00241E38">
        <w:rPr>
          <w:sz w:val="28"/>
          <w:szCs w:val="28"/>
        </w:rPr>
        <w:t>:</w:t>
      </w:r>
    </w:p>
    <w:p w:rsidR="00DF56AC" w:rsidRPr="00241E38" w:rsidRDefault="00DF56AC" w:rsidP="007E464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41E38">
        <w:rPr>
          <w:sz w:val="28"/>
          <w:szCs w:val="28"/>
        </w:rPr>
        <w:t>самооценка половиной населения уровня своей финансовой грамотности как неудовлетворительного;</w:t>
      </w:r>
    </w:p>
    <w:p w:rsidR="00DF56AC" w:rsidRPr="00241E38" w:rsidRDefault="00DF56AC" w:rsidP="007E464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41E38">
        <w:rPr>
          <w:sz w:val="28"/>
          <w:szCs w:val="28"/>
        </w:rPr>
        <w:t>низкий материальный уровень свыше половины домохозяйств;</w:t>
      </w:r>
    </w:p>
    <w:p w:rsidR="00DF56AC" w:rsidRPr="00241E38" w:rsidRDefault="00DF56AC" w:rsidP="007E464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41E38">
        <w:rPr>
          <w:sz w:val="28"/>
          <w:szCs w:val="28"/>
        </w:rPr>
        <w:t>низкая способность к перспективному финансовому планированию;</w:t>
      </w:r>
    </w:p>
    <w:p w:rsidR="00DF56AC" w:rsidRPr="00241E38" w:rsidRDefault="00DF56AC" w:rsidP="007E464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41E38">
        <w:rPr>
          <w:sz w:val="28"/>
          <w:szCs w:val="28"/>
        </w:rPr>
        <w:t>низкий уровень доверия к российскому финансовому сектору;</w:t>
      </w:r>
    </w:p>
    <w:p w:rsidR="00DF56AC" w:rsidRPr="00241E38" w:rsidRDefault="00DF56AC" w:rsidP="007E464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41E38">
        <w:rPr>
          <w:sz w:val="28"/>
          <w:szCs w:val="28"/>
        </w:rPr>
        <w:t>отсутствие представления у потребителей финансовых услуг о своих правах;</w:t>
      </w:r>
    </w:p>
    <w:p w:rsidR="00DF56AC" w:rsidRPr="00241E38" w:rsidRDefault="00DF56AC" w:rsidP="007E464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41E38">
        <w:rPr>
          <w:sz w:val="28"/>
          <w:szCs w:val="28"/>
        </w:rPr>
        <w:t xml:space="preserve">необоснованно завышенные ожидания в отношении государственной поддержки; </w:t>
      </w:r>
    </w:p>
    <w:p w:rsidR="00DF56AC" w:rsidRPr="00241E38" w:rsidRDefault="00DF56AC" w:rsidP="007E464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41E38">
        <w:rPr>
          <w:sz w:val="28"/>
          <w:szCs w:val="28"/>
        </w:rPr>
        <w:t>желание членов домохозяйств получать финансовое образование;</w:t>
      </w:r>
    </w:p>
    <w:p w:rsidR="00DF56AC" w:rsidRPr="00241E38" w:rsidRDefault="00DF56AC" w:rsidP="007E464E">
      <w:pPr>
        <w:pStyle w:val="a3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41E38">
        <w:rPr>
          <w:sz w:val="28"/>
          <w:szCs w:val="28"/>
        </w:rPr>
        <w:t>осознание необходимости в планировании пенсии (25% населения);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В Программе приводятся данные социологических исследований и фиксируются наиболее острые проблемы, связанные с недостаточным уровнем финансовых знаний и навыков граждан: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241E38">
        <w:rPr>
          <w:sz w:val="28"/>
          <w:szCs w:val="28"/>
        </w:rPr>
        <w:t>1) отсутствие понимания ключевых финансовых понятий и использование искаженной в связи с этим информации для принятия разумных решений;</w:t>
      </w:r>
      <w:proofErr w:type="gramEnd"/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2) отсутствие (или предельно короткий горизонт) планирования семейного бюджета, отсутствие семейных стратегий планирования доходов и расходов;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3) неспособность населения принимать взвешенные, основанные на анализе всей доступной информации решения в отношении использования тех или иных финансовых продуктов или услуг, спонтанность принятия финансовых решений;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4) сохраняющийся у населения патерналистский стереотип мышления, стремление переложить ответственность за свои финансовые решения на государство;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5) неумение населения адекватно оценивать риски;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6) недостаточная информированность граждан о возможностях инвестирования и ведения операций на финансовых рынках, низкий уровень осведомленности о страховании;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7) отсутствие правовых знаний в области защиты прав потребителей на финансовых рынках;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8) недоступность для большинства граждан профессионального финансового консультирования;</w:t>
      </w:r>
    </w:p>
    <w:p w:rsidR="00DF56AC" w:rsidRPr="00241E3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9) отсутствие понятной и доступной информации о пенсионной реформе, отсутствие привычки и навыков планирования пенсионных сбережений;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241E38">
        <w:rPr>
          <w:sz w:val="28"/>
          <w:szCs w:val="28"/>
        </w:rPr>
        <w:t>10) неумение использовать государственные инструменты, такие как льготы, имущественные вычеты и т.д.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риски, связанные с </w:t>
      </w:r>
      <w:r w:rsidRPr="003A1A5F">
        <w:rPr>
          <w:sz w:val="28"/>
          <w:szCs w:val="28"/>
        </w:rPr>
        <w:t>недостаточным уровнем финансовой грамотности населения</w:t>
      </w:r>
      <w:r>
        <w:rPr>
          <w:sz w:val="28"/>
          <w:szCs w:val="28"/>
        </w:rPr>
        <w:t xml:space="preserve">, выявились в </w:t>
      </w:r>
      <w:proofErr w:type="spellStart"/>
      <w:r>
        <w:rPr>
          <w:sz w:val="28"/>
          <w:szCs w:val="28"/>
        </w:rPr>
        <w:t>процессеф</w:t>
      </w:r>
      <w:r w:rsidRPr="003A1A5F">
        <w:rPr>
          <w:sz w:val="28"/>
          <w:szCs w:val="28"/>
        </w:rPr>
        <w:t>инансово</w:t>
      </w:r>
      <w:proofErr w:type="spellEnd"/>
      <w:r>
        <w:rPr>
          <w:sz w:val="28"/>
          <w:szCs w:val="28"/>
        </w:rPr>
        <w:t>-экономического кризиса 2008–2009 годов</w:t>
      </w:r>
      <w:r w:rsidRPr="003A1A5F">
        <w:rPr>
          <w:sz w:val="28"/>
          <w:szCs w:val="28"/>
        </w:rPr>
        <w:t xml:space="preserve">. 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Последующее развитие финансовой системы в Российской Федерации  в 2010–2013 годах наряду с продолжением совершенствования нормативной базы в сфере регулирования финансовых </w:t>
      </w:r>
      <w:proofErr w:type="spellStart"/>
      <w:r>
        <w:rPr>
          <w:sz w:val="28"/>
          <w:szCs w:val="28"/>
        </w:rPr>
        <w:t>отношенийхарактеризуется</w:t>
      </w:r>
      <w:proofErr w:type="spellEnd"/>
      <w:r>
        <w:rPr>
          <w:sz w:val="28"/>
          <w:szCs w:val="28"/>
        </w:rPr>
        <w:t xml:space="preserve"> активным продвижением на рынок кредитными организациями и финансовыми учреждениями различных финансовых продуктов и, как следствие, возникновением новых финансовых рисков.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913646">
        <w:rPr>
          <w:sz w:val="28"/>
          <w:szCs w:val="28"/>
        </w:rPr>
        <w:t>,</w:t>
      </w:r>
      <w:r>
        <w:rPr>
          <w:sz w:val="28"/>
          <w:szCs w:val="28"/>
        </w:rPr>
        <w:t xml:space="preserve"> проводимые мероприятия по повышению финансовой грамотности населения приносят результаты. Исследование о состоянии финансовой грамотности и степени информированности населения о реализации Целевой программы в 2013 году</w:t>
      </w:r>
      <w:r>
        <w:rPr>
          <w:rStyle w:val="ac"/>
          <w:sz w:val="28"/>
          <w:szCs w:val="28"/>
        </w:rPr>
        <w:footnoteReference w:id="4"/>
      </w:r>
      <w:r>
        <w:rPr>
          <w:sz w:val="28"/>
          <w:szCs w:val="28"/>
        </w:rPr>
        <w:t>,</w:t>
      </w:r>
      <w:r w:rsidR="00913646">
        <w:rPr>
          <w:sz w:val="28"/>
          <w:szCs w:val="28"/>
        </w:rPr>
        <w:t xml:space="preserve"> проведенное Калининградской социологической службой,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демонстрируетположительную</w:t>
      </w:r>
      <w:proofErr w:type="spellEnd"/>
      <w:r>
        <w:rPr>
          <w:sz w:val="28"/>
          <w:szCs w:val="28"/>
        </w:rPr>
        <w:t xml:space="preserve"> динамику уровня финансовой грамотности населения по</w:t>
      </w:r>
      <w:r w:rsidRPr="005829D4">
        <w:rPr>
          <w:sz w:val="28"/>
          <w:szCs w:val="28"/>
        </w:rPr>
        <w:t xml:space="preserve"> сравнению с </w:t>
      </w:r>
      <w:r>
        <w:rPr>
          <w:sz w:val="28"/>
          <w:szCs w:val="28"/>
        </w:rPr>
        <w:t>данными</w:t>
      </w:r>
      <w:r w:rsidRPr="005829D4">
        <w:rPr>
          <w:sz w:val="28"/>
          <w:szCs w:val="28"/>
        </w:rPr>
        <w:t xml:space="preserve"> 2011 года</w:t>
      </w:r>
      <w:r>
        <w:rPr>
          <w:sz w:val="28"/>
          <w:szCs w:val="28"/>
        </w:rPr>
        <w:t>:</w:t>
      </w:r>
    </w:p>
    <w:p w:rsidR="00DF56AC" w:rsidRPr="00AC0AC8" w:rsidRDefault="00AC0AC8" w:rsidP="00AC0AC8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AC0AC8">
        <w:rPr>
          <w:b/>
          <w:sz w:val="28"/>
          <w:szCs w:val="28"/>
        </w:rPr>
        <w:t>Таблица 1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778"/>
        <w:gridCol w:w="1701"/>
        <w:gridCol w:w="1701"/>
      </w:tblGrid>
      <w:tr w:rsidR="00DF56AC" w:rsidRPr="00943818" w:rsidTr="00A20C0A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943818" w:rsidRDefault="00DF56AC" w:rsidP="00C9192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Индикатор (доля лиц, положительно оценивающих свою компетенцию по вопросу)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3646" w:rsidRDefault="00DF56AC" w:rsidP="0091364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Значение</w:t>
            </w:r>
            <w:r w:rsidR="00913646">
              <w:rPr>
                <w:sz w:val="28"/>
                <w:szCs w:val="28"/>
              </w:rPr>
              <w:t xml:space="preserve">, </w:t>
            </w:r>
          </w:p>
          <w:p w:rsidR="00DF56AC" w:rsidRPr="00943818" w:rsidRDefault="00913646" w:rsidP="0091364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943818" w:rsidRDefault="00DF56AC" w:rsidP="00913646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Изменение</w:t>
            </w:r>
            <w:r w:rsidR="00913646">
              <w:rPr>
                <w:sz w:val="28"/>
                <w:szCs w:val="28"/>
              </w:rPr>
              <w:t>, %</w:t>
            </w:r>
          </w:p>
        </w:tc>
      </w:tr>
      <w:tr w:rsidR="00DF56AC" w:rsidRPr="00943818" w:rsidTr="00913646">
        <w:tc>
          <w:tcPr>
            <w:tcW w:w="5778" w:type="dxa"/>
            <w:tcBorders>
              <w:top w:val="single" w:sz="4" w:space="0" w:color="auto"/>
            </w:tcBorders>
          </w:tcPr>
          <w:p w:rsidR="00DF56AC" w:rsidRPr="00943818" w:rsidRDefault="00DF56AC" w:rsidP="00593E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Основы пенсионного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83,1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56AC" w:rsidRPr="00943818" w:rsidRDefault="00913646" w:rsidP="00C91920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+10,3</w:t>
            </w:r>
          </w:p>
        </w:tc>
      </w:tr>
      <w:tr w:rsidR="00DF56AC" w:rsidRPr="00943818" w:rsidTr="00913646">
        <w:tc>
          <w:tcPr>
            <w:tcW w:w="5778" w:type="dxa"/>
          </w:tcPr>
          <w:p w:rsidR="00DF56AC" w:rsidRPr="00943818" w:rsidRDefault="00DF56AC" w:rsidP="00593E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Риски и выгоды при пользовании финансовыми продуктами</w:t>
            </w:r>
          </w:p>
        </w:tc>
        <w:tc>
          <w:tcPr>
            <w:tcW w:w="1701" w:type="dxa"/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+14,8</w:t>
            </w:r>
          </w:p>
        </w:tc>
      </w:tr>
      <w:tr w:rsidR="00DF56AC" w:rsidRPr="00943818" w:rsidTr="00913646">
        <w:tc>
          <w:tcPr>
            <w:tcW w:w="5778" w:type="dxa"/>
          </w:tcPr>
          <w:p w:rsidR="00DF56AC" w:rsidRPr="00943818" w:rsidRDefault="00DF56AC" w:rsidP="00593E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Создание финансовой подушки безопасности</w:t>
            </w:r>
          </w:p>
        </w:tc>
        <w:tc>
          <w:tcPr>
            <w:tcW w:w="1701" w:type="dxa"/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87</w:t>
            </w:r>
          </w:p>
        </w:tc>
        <w:tc>
          <w:tcPr>
            <w:tcW w:w="1701" w:type="dxa"/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+32,1</w:t>
            </w:r>
          </w:p>
        </w:tc>
      </w:tr>
      <w:tr w:rsidR="00DF56AC" w:rsidRPr="00943818" w:rsidTr="00913646">
        <w:tc>
          <w:tcPr>
            <w:tcW w:w="5778" w:type="dxa"/>
          </w:tcPr>
          <w:p w:rsidR="00DF56AC" w:rsidRPr="00943818" w:rsidRDefault="00DF56AC" w:rsidP="00593E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Возможность разрешения споров с финансовыми институтами</w:t>
            </w:r>
          </w:p>
        </w:tc>
        <w:tc>
          <w:tcPr>
            <w:tcW w:w="1701" w:type="dxa"/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17,3</w:t>
            </w:r>
          </w:p>
        </w:tc>
        <w:tc>
          <w:tcPr>
            <w:tcW w:w="1701" w:type="dxa"/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+4,2</w:t>
            </w:r>
          </w:p>
        </w:tc>
      </w:tr>
      <w:tr w:rsidR="00DF56AC" w:rsidRPr="00943818" w:rsidTr="00A20C0A">
        <w:tc>
          <w:tcPr>
            <w:tcW w:w="5778" w:type="dxa"/>
          </w:tcPr>
          <w:p w:rsidR="00DF56AC" w:rsidRPr="00943818" w:rsidRDefault="00DF56AC" w:rsidP="00593E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Сравнение вариантов получения кредита</w:t>
            </w:r>
          </w:p>
        </w:tc>
        <w:tc>
          <w:tcPr>
            <w:tcW w:w="1701" w:type="dxa"/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55,2</w:t>
            </w:r>
          </w:p>
        </w:tc>
        <w:tc>
          <w:tcPr>
            <w:tcW w:w="1701" w:type="dxa"/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+122,8</w:t>
            </w:r>
          </w:p>
        </w:tc>
      </w:tr>
      <w:tr w:rsidR="00DF56AC" w:rsidRPr="00943818" w:rsidTr="00A20C0A">
        <w:tc>
          <w:tcPr>
            <w:tcW w:w="5778" w:type="dxa"/>
            <w:tcBorders>
              <w:bottom w:val="single" w:sz="4" w:space="0" w:color="auto"/>
            </w:tcBorders>
          </w:tcPr>
          <w:p w:rsidR="00DF56AC" w:rsidRPr="00943818" w:rsidRDefault="00DF56AC" w:rsidP="00593E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Использование предоставляемых государством инструментов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30,4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F56AC" w:rsidRPr="00943818" w:rsidRDefault="00DF56AC" w:rsidP="00913646">
            <w:pPr>
              <w:tabs>
                <w:tab w:val="left" w:pos="1134"/>
              </w:tabs>
              <w:jc w:val="righ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+169,0</w:t>
            </w:r>
          </w:p>
        </w:tc>
      </w:tr>
    </w:tbl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DF56AC" w:rsidRPr="00E50C70" w:rsidRDefault="00DF56AC" w:rsidP="00A231B1">
      <w:pPr>
        <w:spacing w:line="360" w:lineRule="auto"/>
        <w:ind w:firstLine="709"/>
        <w:rPr>
          <w:sz w:val="28"/>
          <w:szCs w:val="28"/>
        </w:rPr>
      </w:pPr>
      <w:r w:rsidRPr="00E50C70">
        <w:rPr>
          <w:sz w:val="28"/>
          <w:szCs w:val="28"/>
        </w:rPr>
        <w:t>При этом происходит изменение факторов внешней среды. Функционирование домохозяйств в начале 2014 года осуществляется в следующих условиях:</w:t>
      </w:r>
    </w:p>
    <w:p w:rsidR="00DF56AC" w:rsidRPr="00E50C70" w:rsidRDefault="00DF56AC" w:rsidP="00A231B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50C70">
        <w:rPr>
          <w:sz w:val="28"/>
          <w:szCs w:val="28"/>
        </w:rPr>
        <w:t>неопределенность экономической ситуации, ожидания снижения курса рубля и замедление экономического роста;</w:t>
      </w:r>
    </w:p>
    <w:p w:rsidR="00DF56AC" w:rsidRPr="00E50C70" w:rsidRDefault="00DF56AC" w:rsidP="00A231B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50C70">
        <w:rPr>
          <w:sz w:val="28"/>
          <w:szCs w:val="28"/>
        </w:rPr>
        <w:t>изменения в законодательстве, связанные с функционированием финансовых институтов, прежде всего в отношении потребительского кредитования;</w:t>
      </w:r>
    </w:p>
    <w:p w:rsidR="00DF56AC" w:rsidRPr="00E50C70" w:rsidRDefault="00DF56AC" w:rsidP="00A231B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50C70">
        <w:rPr>
          <w:sz w:val="28"/>
          <w:szCs w:val="28"/>
        </w:rPr>
        <w:t xml:space="preserve">активное предложение финансовых услуг, в том числе направленных на целевую аудиторию: программы кредитования пенсионеров, ссуды </w:t>
      </w:r>
      <w:proofErr w:type="spellStart"/>
      <w:r w:rsidRPr="00E50C70">
        <w:rPr>
          <w:sz w:val="28"/>
          <w:szCs w:val="28"/>
        </w:rPr>
        <w:t>микрофинансовых</w:t>
      </w:r>
      <w:proofErr w:type="spellEnd"/>
      <w:r w:rsidRPr="00E50C70">
        <w:rPr>
          <w:sz w:val="28"/>
          <w:szCs w:val="28"/>
        </w:rPr>
        <w:t xml:space="preserve"> организаций, предложения высокодоходного размещения небольших сумм средств, при котором до клиента не доводится по</w:t>
      </w:r>
      <w:r w:rsidR="00913646">
        <w:rPr>
          <w:sz w:val="28"/>
          <w:szCs w:val="28"/>
        </w:rPr>
        <w:t>лная информация;</w:t>
      </w:r>
    </w:p>
    <w:p w:rsidR="00DF56AC" w:rsidRDefault="00DF56AC" w:rsidP="00A231B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E50C70">
        <w:rPr>
          <w:sz w:val="28"/>
          <w:szCs w:val="28"/>
        </w:rPr>
        <w:t>наличие у населения старшего возраста ожиданий ухудшения финансового состояния в будущем, связанных с выходом на пенсию или потерей (изменением</w:t>
      </w:r>
      <w:r>
        <w:rPr>
          <w:sz w:val="28"/>
          <w:szCs w:val="28"/>
        </w:rPr>
        <w:t>) занятости до выхода на пенсию.</w:t>
      </w:r>
    </w:p>
    <w:p w:rsidR="00DF56AC" w:rsidRPr="00E50C70" w:rsidRDefault="00DF56AC" w:rsidP="00C91920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сегодняшние экономические и социальные условия </w:t>
      </w:r>
      <w:r w:rsidR="00913646">
        <w:rPr>
          <w:sz w:val="28"/>
          <w:szCs w:val="28"/>
        </w:rPr>
        <w:t>подтверждают</w:t>
      </w:r>
      <w:r>
        <w:rPr>
          <w:sz w:val="28"/>
          <w:szCs w:val="28"/>
        </w:rPr>
        <w:t xml:space="preserve"> актуальность </w:t>
      </w:r>
      <w:proofErr w:type="gramStart"/>
      <w:r>
        <w:rPr>
          <w:sz w:val="28"/>
          <w:szCs w:val="28"/>
        </w:rPr>
        <w:t>реализации программ повышения финансовой грамотности населения</w:t>
      </w:r>
      <w:proofErr w:type="gramEnd"/>
      <w:r>
        <w:rPr>
          <w:sz w:val="28"/>
          <w:szCs w:val="28"/>
        </w:rPr>
        <w:t xml:space="preserve">. </w:t>
      </w:r>
    </w:p>
    <w:p w:rsidR="00DF56AC" w:rsidRPr="00AC0AC8" w:rsidRDefault="00DF56AC" w:rsidP="00AC0AC8">
      <w:pPr>
        <w:pStyle w:val="3"/>
      </w:pPr>
      <w:r w:rsidRPr="00AC0AC8">
        <w:t>Характеристика целевой аудитории программы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Целевой аудиторией программы является население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и пенсионного возраста (от 50 лет). Задачей</w:t>
      </w:r>
      <w:r w:rsidRPr="00E65F45">
        <w:rPr>
          <w:sz w:val="28"/>
          <w:szCs w:val="28"/>
        </w:rPr>
        <w:t xml:space="preserve"> программы является </w:t>
      </w:r>
      <w:r>
        <w:rPr>
          <w:sz w:val="28"/>
          <w:szCs w:val="28"/>
        </w:rPr>
        <w:t>содействие</w:t>
      </w:r>
      <w:r w:rsidRPr="00E65F45">
        <w:rPr>
          <w:sz w:val="28"/>
          <w:szCs w:val="28"/>
        </w:rPr>
        <w:t xml:space="preserve"> формированию у  </w:t>
      </w:r>
      <w:r>
        <w:rPr>
          <w:sz w:val="28"/>
          <w:szCs w:val="28"/>
        </w:rPr>
        <w:t xml:space="preserve">целевой аудитории </w:t>
      </w:r>
      <w:r w:rsidRPr="00E65F45">
        <w:rPr>
          <w:sz w:val="28"/>
          <w:szCs w:val="28"/>
        </w:rPr>
        <w:t>разумного финансового поведения, ответственного отношения к ли</w:t>
      </w:r>
      <w:r>
        <w:rPr>
          <w:sz w:val="28"/>
          <w:szCs w:val="28"/>
        </w:rPr>
        <w:t xml:space="preserve">чным финансам, формированию </w:t>
      </w:r>
      <w:proofErr w:type="spellStart"/>
      <w:r>
        <w:rPr>
          <w:sz w:val="28"/>
          <w:szCs w:val="28"/>
        </w:rPr>
        <w:t>навыковзащиты</w:t>
      </w:r>
      <w:proofErr w:type="spellEnd"/>
      <w:r>
        <w:rPr>
          <w:sz w:val="28"/>
          <w:szCs w:val="28"/>
        </w:rPr>
        <w:t xml:space="preserve"> своих</w:t>
      </w:r>
      <w:r w:rsidRPr="00E65F45">
        <w:rPr>
          <w:sz w:val="28"/>
          <w:szCs w:val="28"/>
        </w:rPr>
        <w:t xml:space="preserve"> интересов как потребителей финансовых услуг</w:t>
      </w:r>
      <w:r>
        <w:rPr>
          <w:sz w:val="28"/>
          <w:szCs w:val="28"/>
        </w:rPr>
        <w:t>.</w:t>
      </w:r>
    </w:p>
    <w:p w:rsidR="00DF56AC" w:rsidRDefault="00DF56AC" w:rsidP="00A231B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Целевая аудитория характеризуется следующими особенностями:</w:t>
      </w:r>
    </w:p>
    <w:p w:rsidR="00DF56AC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2724F">
        <w:rPr>
          <w:sz w:val="28"/>
          <w:szCs w:val="28"/>
        </w:rPr>
        <w:t>наличие</w:t>
      </w:r>
      <w:r>
        <w:rPr>
          <w:sz w:val="28"/>
          <w:szCs w:val="28"/>
        </w:rPr>
        <w:t>м</w:t>
      </w:r>
      <w:r w:rsidRPr="0022724F">
        <w:rPr>
          <w:sz w:val="28"/>
          <w:szCs w:val="28"/>
        </w:rPr>
        <w:t xml:space="preserve"> ежемесячных доходов в виде заработной платы </w:t>
      </w:r>
      <w:proofErr w:type="gramStart"/>
      <w:r w:rsidRPr="0022724F">
        <w:rPr>
          <w:sz w:val="28"/>
          <w:szCs w:val="28"/>
        </w:rPr>
        <w:t>и(</w:t>
      </w:r>
      <w:proofErr w:type="gramEnd"/>
      <w:r w:rsidRPr="0022724F">
        <w:rPr>
          <w:sz w:val="28"/>
          <w:szCs w:val="28"/>
        </w:rPr>
        <w:t xml:space="preserve">или) пенсионных выплат, </w:t>
      </w:r>
      <w:r>
        <w:rPr>
          <w:sz w:val="28"/>
          <w:szCs w:val="28"/>
        </w:rPr>
        <w:t xml:space="preserve">оценкой </w:t>
      </w:r>
      <w:r w:rsidRPr="0022724F">
        <w:rPr>
          <w:sz w:val="28"/>
          <w:szCs w:val="28"/>
        </w:rPr>
        <w:t>уров</w:t>
      </w:r>
      <w:r>
        <w:rPr>
          <w:sz w:val="28"/>
          <w:szCs w:val="28"/>
        </w:rPr>
        <w:t>ня</w:t>
      </w:r>
      <w:r w:rsidRPr="0022724F">
        <w:rPr>
          <w:sz w:val="28"/>
          <w:szCs w:val="28"/>
        </w:rPr>
        <w:t xml:space="preserve"> доходов от низкого до среднего</w:t>
      </w:r>
      <w:r>
        <w:rPr>
          <w:sz w:val="28"/>
          <w:szCs w:val="28"/>
        </w:rPr>
        <w:t>;</w:t>
      </w:r>
    </w:p>
    <w:p w:rsidR="00DF56AC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наличие определенных нефинансовых активов, полученных за время предыдущей деятельности (квартира, земельные участки, садовые постройки, гаражи и т.п.);</w:t>
      </w:r>
    </w:p>
    <w:p w:rsidR="00DF56AC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опыт финансовых потерь в 1990-е годы, сложившееся недоверие к рублю и переоценка инвестиционных свойств иностранных валют и драгоценных металлов;</w:t>
      </w:r>
    </w:p>
    <w:p w:rsidR="00DF56AC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2724F">
        <w:rPr>
          <w:sz w:val="28"/>
          <w:szCs w:val="28"/>
        </w:rPr>
        <w:t>недоверие к банковской системе в связи с кризисами 1998, 2008 годов и отзывом лицензий некоторых коммерческих банков в настоящее время</w:t>
      </w:r>
      <w:r>
        <w:rPr>
          <w:sz w:val="28"/>
          <w:szCs w:val="28"/>
        </w:rPr>
        <w:t>;</w:t>
      </w:r>
    </w:p>
    <w:p w:rsidR="00DF56AC" w:rsidRPr="0022724F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2724F">
        <w:rPr>
          <w:sz w:val="28"/>
          <w:szCs w:val="28"/>
        </w:rPr>
        <w:t xml:space="preserve">недоверие к </w:t>
      </w:r>
      <w:r>
        <w:rPr>
          <w:sz w:val="28"/>
          <w:szCs w:val="28"/>
        </w:rPr>
        <w:t>публикуемым</w:t>
      </w:r>
      <w:r w:rsidRPr="0022724F">
        <w:rPr>
          <w:sz w:val="28"/>
          <w:szCs w:val="28"/>
        </w:rPr>
        <w:t xml:space="preserve"> темпам инфляции в сравнении с видимым постоянным ростом цен на товары первой необходимости;</w:t>
      </w:r>
    </w:p>
    <w:p w:rsidR="00DF56AC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22724F">
        <w:rPr>
          <w:sz w:val="28"/>
          <w:szCs w:val="28"/>
        </w:rPr>
        <w:t xml:space="preserve">недовольство низким уровнем прожиточного минимума и </w:t>
      </w:r>
      <w:r>
        <w:rPr>
          <w:sz w:val="28"/>
          <w:szCs w:val="28"/>
        </w:rPr>
        <w:t>степенью</w:t>
      </w:r>
      <w:r w:rsidRPr="0022724F">
        <w:rPr>
          <w:sz w:val="28"/>
          <w:szCs w:val="28"/>
        </w:rPr>
        <w:t xml:space="preserve"> его индексации</w:t>
      </w:r>
      <w:r>
        <w:rPr>
          <w:sz w:val="28"/>
          <w:szCs w:val="28"/>
        </w:rPr>
        <w:t>;</w:t>
      </w:r>
    </w:p>
    <w:p w:rsidR="00DF56AC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сформированный в соответствии с доходами уровень потребления;</w:t>
      </w:r>
    </w:p>
    <w:p w:rsidR="00DF56AC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осторожность и консервативность в принятии финансовых решений;</w:t>
      </w:r>
    </w:p>
    <w:p w:rsidR="00DF56AC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отсутствие специального экономического образования, низкое знание финансовых инструментов, неумение выявлять и оценивать свойства и риски определенных видов финансовых и нефинансовых активов;</w:t>
      </w:r>
    </w:p>
    <w:p w:rsidR="00DF56AC" w:rsidRPr="001C2CA3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1C2CA3">
        <w:rPr>
          <w:sz w:val="28"/>
          <w:szCs w:val="28"/>
        </w:rPr>
        <w:t>отсутствие финансового планирования, инертность в при</w:t>
      </w:r>
      <w:r>
        <w:rPr>
          <w:sz w:val="28"/>
          <w:szCs w:val="28"/>
        </w:rPr>
        <w:t>нятии решений;</w:t>
      </w:r>
    </w:p>
    <w:p w:rsidR="00DF56AC" w:rsidRPr="001C2CA3" w:rsidRDefault="00DF56AC" w:rsidP="00A231B1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1C2CA3">
        <w:rPr>
          <w:sz w:val="28"/>
          <w:szCs w:val="28"/>
        </w:rPr>
        <w:t>подверженность паническим ожиданиям после наступления неблагоприятного события, вероятность принятия наихудших решений.</w:t>
      </w:r>
    </w:p>
    <w:p w:rsidR="00DF56AC" w:rsidRPr="003A1A5F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proofErr w:type="gramStart"/>
      <w:r w:rsidRPr="003A1A5F">
        <w:rPr>
          <w:sz w:val="28"/>
          <w:szCs w:val="28"/>
        </w:rPr>
        <w:t>Данная целевая группа является одной из наиболее уязвимых в социальном плане, так как сложившаяся в нашей стране практика приучила пожилых людей рассчитывать на государственную пенсию и не прикладывать дополнительных усилий для формирования альтернативных источников доходов, способных существенно дополнить личный бюджет после окончания активной трудовой деятельности.</w:t>
      </w:r>
      <w:proofErr w:type="gramEnd"/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A1A5F">
        <w:rPr>
          <w:sz w:val="28"/>
          <w:szCs w:val="28"/>
        </w:rPr>
        <w:t xml:space="preserve">При этом человек </w:t>
      </w:r>
      <w:proofErr w:type="spellStart"/>
      <w:r w:rsidRPr="003A1A5F">
        <w:rPr>
          <w:sz w:val="28"/>
          <w:szCs w:val="28"/>
        </w:rPr>
        <w:t>предпенсионного</w:t>
      </w:r>
      <w:proofErr w:type="spellEnd"/>
      <w:r w:rsidRPr="003A1A5F">
        <w:rPr>
          <w:sz w:val="28"/>
          <w:szCs w:val="28"/>
        </w:rPr>
        <w:t xml:space="preserve"> возраста (</w:t>
      </w:r>
      <w:r>
        <w:rPr>
          <w:sz w:val="28"/>
          <w:szCs w:val="28"/>
        </w:rPr>
        <w:t>50</w:t>
      </w:r>
      <w:r w:rsidRPr="003A1A5F">
        <w:rPr>
          <w:sz w:val="28"/>
          <w:szCs w:val="28"/>
        </w:rPr>
        <w:t>-60 лет) должен ответственно подходить к вопросу своего финансового обеспечения после выхода на пенсию, что может потребовать перераспределения имеющихся финансовых активов.</w:t>
      </w:r>
      <w:r>
        <w:rPr>
          <w:sz w:val="28"/>
          <w:szCs w:val="28"/>
        </w:rPr>
        <w:t xml:space="preserve"> Д</w:t>
      </w:r>
      <w:r w:rsidRPr="003A1A5F">
        <w:rPr>
          <w:sz w:val="28"/>
          <w:szCs w:val="28"/>
        </w:rPr>
        <w:t>ля людей пенсионного возраста (</w:t>
      </w:r>
      <w:r w:rsidR="00913646">
        <w:rPr>
          <w:sz w:val="28"/>
          <w:szCs w:val="28"/>
        </w:rPr>
        <w:t>старше</w:t>
      </w:r>
      <w:r w:rsidRPr="003A1A5F">
        <w:rPr>
          <w:sz w:val="28"/>
          <w:szCs w:val="28"/>
        </w:rPr>
        <w:t xml:space="preserve"> 60 лет) актуальной становится задача планирования расходов и поиска дополнительных финансовых источников для увеличения до</w:t>
      </w:r>
      <w:r>
        <w:rPr>
          <w:sz w:val="28"/>
          <w:szCs w:val="28"/>
        </w:rPr>
        <w:t>ходной части своего бюджета, а также недопущения потери накоплений.</w:t>
      </w:r>
    </w:p>
    <w:p w:rsidR="00DF56AC" w:rsidRPr="003A1A5F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A1A5F">
        <w:rPr>
          <w:sz w:val="28"/>
          <w:szCs w:val="28"/>
        </w:rPr>
        <w:t xml:space="preserve">Одним из способов вовлечения граждан в процесс приобретения базового набора знаний и навыков, необходимых для грамотного управления личными финансами, является разработка и реализация образовательного курса, нацеленного на повышение уровня финансовой грамотности людей </w:t>
      </w:r>
      <w:proofErr w:type="spellStart"/>
      <w:r w:rsidRPr="003A1A5F">
        <w:rPr>
          <w:sz w:val="28"/>
          <w:szCs w:val="28"/>
        </w:rPr>
        <w:t>предпенсионного</w:t>
      </w:r>
      <w:proofErr w:type="spellEnd"/>
      <w:r w:rsidRPr="003A1A5F">
        <w:rPr>
          <w:sz w:val="28"/>
          <w:szCs w:val="28"/>
        </w:rPr>
        <w:t xml:space="preserve"> и пенсионного возраста. </w:t>
      </w:r>
    </w:p>
    <w:p w:rsidR="00DF56AC" w:rsidRPr="007F1980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отношении</w:t>
      </w:r>
      <w:r w:rsidRPr="004F2041">
        <w:rPr>
          <w:sz w:val="28"/>
          <w:szCs w:val="28"/>
        </w:rPr>
        <w:t xml:space="preserve"> целевой аудитории </w:t>
      </w:r>
      <w:r>
        <w:rPr>
          <w:sz w:val="28"/>
          <w:szCs w:val="28"/>
        </w:rPr>
        <w:t xml:space="preserve">в Калининградской </w:t>
      </w:r>
      <w:r w:rsidR="00913646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региональными и муниципальными органами власти проводится политика, направленная на ее вовлечение в использование современных информационных технологий. Одной из задач Ц</w:t>
      </w:r>
      <w:r w:rsidRPr="004F2041">
        <w:rPr>
          <w:sz w:val="28"/>
          <w:szCs w:val="28"/>
        </w:rPr>
        <w:t>елевой программ</w:t>
      </w:r>
      <w:r>
        <w:rPr>
          <w:sz w:val="28"/>
          <w:szCs w:val="28"/>
        </w:rPr>
        <w:t>ы</w:t>
      </w:r>
      <w:r w:rsidRPr="004F2041">
        <w:rPr>
          <w:sz w:val="28"/>
          <w:szCs w:val="28"/>
        </w:rPr>
        <w:t xml:space="preserve"> Калининградской области «Повышение качества жизни граждан старшего </w:t>
      </w:r>
      <w:proofErr w:type="spellStart"/>
      <w:r w:rsidRPr="004F2041">
        <w:rPr>
          <w:sz w:val="28"/>
          <w:szCs w:val="28"/>
        </w:rPr>
        <w:t>поколения</w:t>
      </w:r>
      <w:proofErr w:type="gramStart"/>
      <w:r w:rsidRPr="004F2041">
        <w:rPr>
          <w:sz w:val="28"/>
          <w:szCs w:val="28"/>
        </w:rPr>
        <w:t>»н</w:t>
      </w:r>
      <w:proofErr w:type="gramEnd"/>
      <w:r w:rsidRPr="004F2041">
        <w:rPr>
          <w:sz w:val="28"/>
          <w:szCs w:val="28"/>
        </w:rPr>
        <w:t>а</w:t>
      </w:r>
      <w:proofErr w:type="spellEnd"/>
      <w:r w:rsidRPr="004F2041">
        <w:rPr>
          <w:sz w:val="28"/>
          <w:szCs w:val="28"/>
        </w:rPr>
        <w:t xml:space="preserve"> 2011 – 2013 годы</w:t>
      </w:r>
      <w:r>
        <w:rPr>
          <w:sz w:val="28"/>
          <w:szCs w:val="28"/>
        </w:rPr>
        <w:t xml:space="preserve"> явля</w:t>
      </w:r>
      <w:r w:rsidR="00913646">
        <w:rPr>
          <w:sz w:val="28"/>
          <w:szCs w:val="28"/>
        </w:rPr>
        <w:t>лось</w:t>
      </w:r>
      <w:r>
        <w:rPr>
          <w:sz w:val="28"/>
          <w:szCs w:val="28"/>
        </w:rPr>
        <w:t xml:space="preserve"> развитие коммуникативных связей и развитие интеллектуального потенциала пожилых людей через создание условий для повышения уровня компьютерной грамотности пенсионеров.</w:t>
      </w:r>
      <w:r>
        <w:rPr>
          <w:rStyle w:val="ac"/>
          <w:sz w:val="28"/>
          <w:szCs w:val="28"/>
        </w:rPr>
        <w:footnoteReference w:id="5"/>
      </w:r>
      <w:r>
        <w:rPr>
          <w:sz w:val="28"/>
          <w:szCs w:val="28"/>
        </w:rPr>
        <w:t>В г. Калининграде успешно реализуется социально-образовательный проект «Университет старшего возраста», благодаря которому производится бесплатное обучение пенсионеров компьютерной грамотности. В указанном проекте задействованы ресурсы федеральных, муниципальных, региональных, общественных и образовательных учреждений</w:t>
      </w:r>
      <w:r w:rsidRPr="007F1980">
        <w:rPr>
          <w:sz w:val="28"/>
          <w:szCs w:val="28"/>
        </w:rPr>
        <w:t>.</w:t>
      </w:r>
    </w:p>
    <w:p w:rsidR="00DF56AC" w:rsidRPr="007F1980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7F1980">
        <w:rPr>
          <w:sz w:val="28"/>
          <w:szCs w:val="28"/>
        </w:rPr>
        <w:t xml:space="preserve">В 2012 – 2013 годах </w:t>
      </w:r>
      <w:r>
        <w:rPr>
          <w:sz w:val="28"/>
          <w:szCs w:val="28"/>
        </w:rPr>
        <w:t>курсы по повышению компьютерной грамотности прошли 3,5 тысячи пенсионеров</w:t>
      </w:r>
      <w:r>
        <w:rPr>
          <w:rStyle w:val="ac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DF56AC" w:rsidRPr="007F1980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программе финансовой грамотности для «школ третьего возраста» учтены указанные особенности целевой аудитории,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чем частью программы является демонстрация возможностей и развитие навыков использования информации, получаемой при помощи компьютерных коммуникаций.</w:t>
      </w:r>
    </w:p>
    <w:p w:rsidR="00DF56AC" w:rsidRPr="00AF66EB" w:rsidRDefault="00DF56AC" w:rsidP="00AC0AC8">
      <w:pPr>
        <w:pStyle w:val="3"/>
      </w:pPr>
      <w:r>
        <w:t>Модель компетенци</w:t>
      </w:r>
      <w:r w:rsidR="00AF66EB">
        <w:t>й и структура учебной программы</w:t>
      </w:r>
    </w:p>
    <w:p w:rsidR="00DF56AC" w:rsidRDefault="00DF56AC" w:rsidP="009E6C4F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рамках принятого методологического подхода выделяются понятия компетентности и компетенций. Указывается, что «понятие компетентность по сравнению с компетенцией гораздо шире. </w:t>
      </w:r>
      <w:proofErr w:type="gramStart"/>
      <w:r>
        <w:rPr>
          <w:sz w:val="28"/>
          <w:szCs w:val="28"/>
        </w:rPr>
        <w:t xml:space="preserve">Оно включает наряду с </w:t>
      </w:r>
      <w:proofErr w:type="spellStart"/>
      <w:r>
        <w:rPr>
          <w:sz w:val="28"/>
          <w:szCs w:val="28"/>
        </w:rPr>
        <w:t>когнитивно-знаниевым</w:t>
      </w:r>
      <w:proofErr w:type="spellEnd"/>
      <w:r>
        <w:rPr>
          <w:sz w:val="28"/>
          <w:szCs w:val="28"/>
        </w:rPr>
        <w:t xml:space="preserve"> мотивационный, </w:t>
      </w:r>
      <w:proofErr w:type="spellStart"/>
      <w:r>
        <w:rPr>
          <w:sz w:val="28"/>
          <w:szCs w:val="28"/>
        </w:rPr>
        <w:t>отношенческий</w:t>
      </w:r>
      <w:proofErr w:type="spellEnd"/>
      <w:r>
        <w:rPr>
          <w:sz w:val="28"/>
          <w:szCs w:val="28"/>
        </w:rPr>
        <w:t xml:space="preserve">, регуляторный компоненты, что подчеркивается и разработчиками </w:t>
      </w:r>
      <w:r w:rsidRPr="004B711C">
        <w:rPr>
          <w:sz w:val="28"/>
          <w:szCs w:val="28"/>
        </w:rPr>
        <w:t>“</w:t>
      </w:r>
      <w:r>
        <w:rPr>
          <w:sz w:val="28"/>
          <w:szCs w:val="28"/>
        </w:rPr>
        <w:t xml:space="preserve">Стратегии </w:t>
      </w:r>
      <w:proofErr w:type="spellStart"/>
      <w:r>
        <w:rPr>
          <w:sz w:val="28"/>
          <w:szCs w:val="28"/>
        </w:rPr>
        <w:t>модернизацииобщего</w:t>
      </w:r>
      <w:proofErr w:type="spellEnd"/>
      <w:r>
        <w:rPr>
          <w:sz w:val="28"/>
          <w:szCs w:val="28"/>
        </w:rPr>
        <w:t xml:space="preserve"> образования</w:t>
      </w:r>
      <w:r w:rsidRPr="004B711C">
        <w:rPr>
          <w:sz w:val="28"/>
          <w:szCs w:val="28"/>
        </w:rPr>
        <w:t>“</w:t>
      </w:r>
      <w:r>
        <w:rPr>
          <w:sz w:val="28"/>
          <w:szCs w:val="28"/>
        </w:rPr>
        <w:t>»</w:t>
      </w:r>
      <w:r>
        <w:rPr>
          <w:rStyle w:val="ac"/>
          <w:sz w:val="28"/>
          <w:szCs w:val="28"/>
        </w:rPr>
        <w:footnoteReference w:id="7"/>
      </w:r>
      <w:r>
        <w:rPr>
          <w:sz w:val="28"/>
          <w:szCs w:val="28"/>
        </w:rPr>
        <w:t>. В соответствии с данным подходом понятие финансовой грамотности рассматривается в качестве компетентности и включает в свой состав отдельные компетенции.</w:t>
      </w:r>
      <w:proofErr w:type="gramEnd"/>
      <w:r>
        <w:rPr>
          <w:sz w:val="28"/>
          <w:szCs w:val="28"/>
        </w:rPr>
        <w:t xml:space="preserve"> Международный опыт реализации программ повышения финансовой грамотности</w:t>
      </w:r>
      <w:r>
        <w:rPr>
          <w:rStyle w:val="ac"/>
          <w:sz w:val="28"/>
          <w:szCs w:val="28"/>
        </w:rPr>
        <w:footnoteReference w:id="8"/>
      </w:r>
      <w:r>
        <w:rPr>
          <w:sz w:val="28"/>
          <w:szCs w:val="28"/>
        </w:rPr>
        <w:t xml:space="preserve"> включает в состав компетенций три взаимосвязанных элемента: установки, знания, навыки.</w:t>
      </w:r>
    </w:p>
    <w:p w:rsidR="00DF56AC" w:rsidRDefault="00DF56AC" w:rsidP="009E6C4F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рамках настоящей программы внутри финансовой грамотности как базовой компетентности с учетом особенностей и потребностей целевой аудитории выделяются три компетенции. Определение и отбор компетенций, на повышение которых нацелена программа, произведен в соответствии с оценкой потребностей целевой аудитории и наличием в настоящее время характерных для нее финансовых рисков. Развитие данных компетенций должно осуществляться с учетом формирования и развития у целевой аудитории базовых установок, то есть культурно-поведенческих моделей приобретения и использования знаний и навыков. 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Реализация программы направлена на развитие 3 компетенций:</w:t>
      </w:r>
    </w:p>
    <w:p w:rsidR="00AC0AC8" w:rsidRPr="00AC0AC8" w:rsidRDefault="00AC0AC8" w:rsidP="00AC0AC8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65"/>
        <w:gridCol w:w="4546"/>
        <w:gridCol w:w="3969"/>
      </w:tblGrid>
      <w:tr w:rsidR="00DF56AC" w:rsidRPr="00943818" w:rsidTr="00F317BF">
        <w:trPr>
          <w:cantSplit/>
        </w:trPr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rPr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Компетенция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Целевая установка</w:t>
            </w:r>
          </w:p>
        </w:tc>
      </w:tr>
      <w:tr w:rsidR="00DF56AC" w:rsidRPr="00943818" w:rsidTr="009E6C4F">
        <w:trPr>
          <w:cantSplit/>
        </w:trPr>
        <w:tc>
          <w:tcPr>
            <w:tcW w:w="665" w:type="dxa"/>
            <w:tcBorders>
              <w:top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К-1</w:t>
            </w:r>
          </w:p>
        </w:tc>
        <w:tc>
          <w:tcPr>
            <w:tcW w:w="4546" w:type="dxa"/>
            <w:tcBorders>
              <w:top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Способность следить за состоянием личных финансов, планировать свои будущие доходы и расходы (включая пенсионный период).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 xml:space="preserve">Обеспечение финансовой безопасности и реализация долгосрочной </w:t>
            </w:r>
            <w:r>
              <w:rPr>
                <w:sz w:val="28"/>
                <w:szCs w:val="28"/>
              </w:rPr>
              <w:t xml:space="preserve">личной </w:t>
            </w:r>
            <w:r w:rsidRPr="00943818">
              <w:rPr>
                <w:sz w:val="28"/>
                <w:szCs w:val="28"/>
              </w:rPr>
              <w:t>финансовой стратегии.</w:t>
            </w:r>
          </w:p>
        </w:tc>
      </w:tr>
      <w:tr w:rsidR="00DF56AC" w:rsidRPr="00943818" w:rsidTr="00F317BF">
        <w:trPr>
          <w:cantSplit/>
        </w:trPr>
        <w:tc>
          <w:tcPr>
            <w:tcW w:w="665" w:type="dxa"/>
          </w:tcPr>
          <w:p w:rsidR="00DF56AC" w:rsidRPr="00943818" w:rsidRDefault="00DF56AC" w:rsidP="000E6B00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К-2</w:t>
            </w:r>
          </w:p>
        </w:tc>
        <w:tc>
          <w:tcPr>
            <w:tcW w:w="4546" w:type="dxa"/>
          </w:tcPr>
          <w:p w:rsidR="00DF56AC" w:rsidRPr="00943818" w:rsidRDefault="00DF56AC" w:rsidP="000E6B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 п</w:t>
            </w:r>
            <w:r w:rsidRPr="00943818">
              <w:rPr>
                <w:sz w:val="28"/>
                <w:szCs w:val="28"/>
              </w:rPr>
              <w:t>риобрет</w:t>
            </w:r>
            <w:r>
              <w:rPr>
                <w:sz w:val="28"/>
                <w:szCs w:val="28"/>
              </w:rPr>
              <w:t>ать</w:t>
            </w:r>
            <w:r w:rsidRPr="00943818">
              <w:rPr>
                <w:sz w:val="28"/>
                <w:szCs w:val="28"/>
              </w:rPr>
              <w:t xml:space="preserve"> и использов</w:t>
            </w:r>
            <w:r>
              <w:rPr>
                <w:sz w:val="28"/>
                <w:szCs w:val="28"/>
              </w:rPr>
              <w:t xml:space="preserve">ать финансовые </w:t>
            </w:r>
            <w:r w:rsidRPr="00943818">
              <w:rPr>
                <w:sz w:val="28"/>
                <w:szCs w:val="28"/>
              </w:rPr>
              <w:t>продукт</w:t>
            </w:r>
            <w:r>
              <w:rPr>
                <w:sz w:val="28"/>
                <w:szCs w:val="28"/>
              </w:rPr>
              <w:t>ы</w:t>
            </w:r>
            <w:r w:rsidRPr="00943818">
              <w:rPr>
                <w:sz w:val="28"/>
                <w:szCs w:val="28"/>
              </w:rPr>
              <w:t xml:space="preserve"> и услуг</w:t>
            </w:r>
            <w:r>
              <w:rPr>
                <w:sz w:val="28"/>
                <w:szCs w:val="28"/>
              </w:rPr>
              <w:t>и</w:t>
            </w:r>
            <w:r w:rsidRPr="00943818">
              <w:rPr>
                <w:sz w:val="28"/>
                <w:szCs w:val="28"/>
              </w:rPr>
              <w:t xml:space="preserve"> на основе осознанного выбора.</w:t>
            </w:r>
          </w:p>
        </w:tc>
        <w:tc>
          <w:tcPr>
            <w:tcW w:w="3969" w:type="dxa"/>
          </w:tcPr>
          <w:p w:rsidR="00DF56AC" w:rsidRPr="00943818" w:rsidRDefault="00DF56AC" w:rsidP="000E6B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Достижение поставленной финансовой  цели оптимальным  методом с учетом оценки рисков.</w:t>
            </w:r>
          </w:p>
        </w:tc>
      </w:tr>
      <w:tr w:rsidR="00DF56AC" w:rsidRPr="00943818" w:rsidTr="00F317B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>К-3</w:t>
            </w:r>
          </w:p>
        </w:tc>
        <w:tc>
          <w:tcPr>
            <w:tcW w:w="4546" w:type="dxa"/>
            <w:tcBorders>
              <w:bottom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осуществлять л</w:t>
            </w:r>
            <w:r w:rsidRPr="00943818">
              <w:rPr>
                <w:sz w:val="28"/>
                <w:szCs w:val="28"/>
              </w:rPr>
              <w:t>ичное финансовое планирование во взаимосвязи со сферой общественных финансов.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F56AC" w:rsidRPr="00943818" w:rsidRDefault="00DF56AC" w:rsidP="000E6B00">
            <w:pPr>
              <w:tabs>
                <w:tab w:val="left" w:pos="1134"/>
              </w:tabs>
              <w:jc w:val="left"/>
              <w:rPr>
                <w:sz w:val="28"/>
                <w:szCs w:val="28"/>
              </w:rPr>
            </w:pPr>
            <w:r w:rsidRPr="00943818">
              <w:rPr>
                <w:sz w:val="28"/>
                <w:szCs w:val="28"/>
              </w:rPr>
              <w:t xml:space="preserve">Максимальное использование возможностей  национальной финансовой системы при реализации </w:t>
            </w:r>
            <w:r>
              <w:rPr>
                <w:sz w:val="28"/>
                <w:szCs w:val="28"/>
              </w:rPr>
              <w:t xml:space="preserve">личной </w:t>
            </w:r>
            <w:r w:rsidRPr="00943818">
              <w:rPr>
                <w:sz w:val="28"/>
                <w:szCs w:val="28"/>
              </w:rPr>
              <w:t>финансовой стратегии.</w:t>
            </w:r>
          </w:p>
        </w:tc>
      </w:tr>
    </w:tbl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DF56AC" w:rsidRDefault="00DF56AC" w:rsidP="00336694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данной моделью компетенций в программе </w:t>
      </w:r>
      <w:r w:rsidRPr="00F17FE5">
        <w:rPr>
          <w:sz w:val="28"/>
          <w:szCs w:val="28"/>
        </w:rPr>
        <w:t>применяется</w:t>
      </w:r>
      <w:r>
        <w:rPr>
          <w:sz w:val="28"/>
          <w:szCs w:val="28"/>
        </w:rPr>
        <w:t xml:space="preserve"> технология</w:t>
      </w:r>
      <w:r w:rsidRPr="00F17FE5">
        <w:rPr>
          <w:sz w:val="28"/>
          <w:szCs w:val="28"/>
        </w:rPr>
        <w:t xml:space="preserve"> модульного обучения. </w:t>
      </w:r>
      <w:r>
        <w:rPr>
          <w:sz w:val="28"/>
          <w:szCs w:val="28"/>
        </w:rPr>
        <w:t>Комплексная дидактическая цель (повышение финансовой грамотности как компетентность) реализуется посредством интеграции курсов и дисциплин в законченные  учебные модули, каждый из которых преимущественно направлен на развитие одной их выделенных компетенций. Вместе с тем</w:t>
      </w:r>
      <w:r w:rsidR="00F317BF">
        <w:rPr>
          <w:sz w:val="28"/>
          <w:szCs w:val="28"/>
        </w:rPr>
        <w:t>,</w:t>
      </w:r>
      <w:r>
        <w:rPr>
          <w:sz w:val="28"/>
          <w:szCs w:val="28"/>
        </w:rPr>
        <w:t xml:space="preserve"> логическая взаимосвязь материала модулей, необходимость обеспечения их преемственности и закрепления полученных знаний и навыков способствует комплексному дополнению формируемых другими модулями компетенций.</w:t>
      </w:r>
    </w:p>
    <w:p w:rsidR="00DF56AC" w:rsidRDefault="00DF56AC" w:rsidP="0073364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рамках каждого модуля определены типичные для целевой аудитории риски, на снижение которых направлено повышение соответствующей компетенции. При этом в рамках компетенции формулируются знания и умения, необходимые для реализации соответствующей целевой установки, на получение которых направлен учебный модуль.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Частные дидактические цели реализованы элементами учебных модулей – учебными элементами (УЭ).</w:t>
      </w:r>
    </w:p>
    <w:p w:rsidR="00DF56AC" w:rsidRDefault="00DF56AC" w:rsidP="006E30F0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Модуль М-1 «Личное финансовое планирование» направлен на развитие компетенции </w:t>
      </w:r>
      <w:r w:rsidRPr="005F2075">
        <w:rPr>
          <w:sz w:val="28"/>
          <w:szCs w:val="28"/>
        </w:rPr>
        <w:t>К-1</w:t>
      </w:r>
      <w:r>
        <w:rPr>
          <w:sz w:val="28"/>
          <w:szCs w:val="28"/>
        </w:rPr>
        <w:t xml:space="preserve"> и закладывает теоретическую и методологическую базу для формирования компетенций К-2 и К-3. В состав модуля включены следующие учебные элементы:</w:t>
      </w:r>
    </w:p>
    <w:p w:rsidR="00DF56AC" w:rsidRPr="00BC2E96" w:rsidRDefault="00DF56AC" w:rsidP="007E464E">
      <w:pPr>
        <w:tabs>
          <w:tab w:val="left" w:pos="1701"/>
        </w:tabs>
        <w:spacing w:line="360" w:lineRule="auto"/>
        <w:ind w:firstLine="709"/>
        <w:rPr>
          <w:sz w:val="28"/>
          <w:szCs w:val="28"/>
        </w:rPr>
      </w:pPr>
      <w:r w:rsidRPr="00BC2E96">
        <w:rPr>
          <w:sz w:val="28"/>
          <w:szCs w:val="28"/>
        </w:rPr>
        <w:t>УЭ-</w:t>
      </w:r>
      <w:r>
        <w:rPr>
          <w:sz w:val="28"/>
          <w:szCs w:val="28"/>
        </w:rPr>
        <w:t>1.</w:t>
      </w:r>
      <w:r w:rsidRPr="00BC2E96">
        <w:rPr>
          <w:sz w:val="28"/>
          <w:szCs w:val="28"/>
        </w:rPr>
        <w:t>1</w:t>
      </w:r>
      <w:r w:rsidRPr="00BC2E96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BC2E96">
        <w:rPr>
          <w:sz w:val="28"/>
          <w:szCs w:val="28"/>
        </w:rPr>
        <w:t>Управление семейными (личными) финансовыми активами</w:t>
      </w:r>
      <w:r>
        <w:rPr>
          <w:sz w:val="28"/>
          <w:szCs w:val="28"/>
        </w:rPr>
        <w:t>»;</w:t>
      </w:r>
    </w:p>
    <w:p w:rsidR="00DF56AC" w:rsidRPr="00BC2E96" w:rsidRDefault="00DF56AC" w:rsidP="007E464E">
      <w:pPr>
        <w:tabs>
          <w:tab w:val="left" w:pos="1701"/>
        </w:tabs>
        <w:spacing w:line="360" w:lineRule="auto"/>
        <w:ind w:firstLine="709"/>
        <w:rPr>
          <w:sz w:val="28"/>
          <w:szCs w:val="28"/>
        </w:rPr>
      </w:pPr>
      <w:r w:rsidRPr="00BC2E96">
        <w:rPr>
          <w:sz w:val="28"/>
          <w:szCs w:val="28"/>
        </w:rPr>
        <w:t>УЭ-</w:t>
      </w:r>
      <w:r>
        <w:rPr>
          <w:sz w:val="28"/>
          <w:szCs w:val="28"/>
        </w:rPr>
        <w:t>1.</w:t>
      </w:r>
      <w:r w:rsidRPr="00BC2E96">
        <w:rPr>
          <w:sz w:val="28"/>
          <w:szCs w:val="28"/>
        </w:rPr>
        <w:t>2</w:t>
      </w:r>
      <w:r w:rsidRPr="00BC2E96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BC2E96">
        <w:rPr>
          <w:sz w:val="28"/>
          <w:szCs w:val="28"/>
        </w:rPr>
        <w:t>Риски финансовых инструментов</w:t>
      </w:r>
      <w:r>
        <w:rPr>
          <w:sz w:val="28"/>
          <w:szCs w:val="28"/>
        </w:rPr>
        <w:t>»;</w:t>
      </w:r>
    </w:p>
    <w:p w:rsidR="00DF56AC" w:rsidRPr="00BC2E96" w:rsidRDefault="00DF56AC" w:rsidP="007E464E">
      <w:pPr>
        <w:tabs>
          <w:tab w:val="left" w:pos="1701"/>
        </w:tabs>
        <w:spacing w:line="360" w:lineRule="auto"/>
        <w:ind w:firstLine="709"/>
        <w:rPr>
          <w:sz w:val="28"/>
          <w:szCs w:val="28"/>
        </w:rPr>
      </w:pPr>
      <w:r w:rsidRPr="00BC2E96">
        <w:rPr>
          <w:sz w:val="28"/>
          <w:szCs w:val="28"/>
        </w:rPr>
        <w:t>УЭ-</w:t>
      </w:r>
      <w:r>
        <w:rPr>
          <w:sz w:val="28"/>
          <w:szCs w:val="28"/>
        </w:rPr>
        <w:t>1.</w:t>
      </w:r>
      <w:r w:rsidRPr="00BC2E96">
        <w:rPr>
          <w:sz w:val="28"/>
          <w:szCs w:val="28"/>
        </w:rPr>
        <w:t>3</w:t>
      </w:r>
      <w:r w:rsidRPr="00BC2E96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BC2E96">
        <w:rPr>
          <w:sz w:val="28"/>
          <w:szCs w:val="28"/>
        </w:rPr>
        <w:t>Оценка доходности финансовых операций с учётом инфляции</w:t>
      </w:r>
      <w:r>
        <w:rPr>
          <w:sz w:val="28"/>
          <w:szCs w:val="28"/>
        </w:rPr>
        <w:t>»;</w:t>
      </w:r>
    </w:p>
    <w:p w:rsidR="00DF56AC" w:rsidRDefault="00DF56AC" w:rsidP="007E464E">
      <w:pPr>
        <w:tabs>
          <w:tab w:val="left" w:pos="1701"/>
        </w:tabs>
        <w:spacing w:line="360" w:lineRule="auto"/>
        <w:ind w:firstLine="709"/>
        <w:rPr>
          <w:sz w:val="28"/>
          <w:szCs w:val="28"/>
        </w:rPr>
      </w:pPr>
      <w:r w:rsidRPr="00BC2E96">
        <w:rPr>
          <w:sz w:val="28"/>
          <w:szCs w:val="28"/>
        </w:rPr>
        <w:t>УЭ-</w:t>
      </w:r>
      <w:r>
        <w:rPr>
          <w:sz w:val="28"/>
          <w:szCs w:val="28"/>
        </w:rPr>
        <w:t>1.4</w:t>
      </w:r>
      <w:r w:rsidRPr="00BC2E96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BC2E96">
        <w:rPr>
          <w:sz w:val="28"/>
          <w:szCs w:val="28"/>
        </w:rPr>
        <w:t>Дополнительные финансовые источники для увеличения доходной части семейного (личного) бюджета</w:t>
      </w:r>
      <w:r>
        <w:rPr>
          <w:sz w:val="28"/>
          <w:szCs w:val="28"/>
        </w:rPr>
        <w:t>».</w:t>
      </w:r>
    </w:p>
    <w:p w:rsidR="00DF56AC" w:rsidRDefault="00DF56AC" w:rsidP="006E30F0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Модуль М-2 «Услуги коммерческих банков» направлен на развитие  компетенции</w:t>
      </w:r>
      <w:r w:rsidRPr="00A07B08">
        <w:rPr>
          <w:sz w:val="28"/>
          <w:szCs w:val="28"/>
        </w:rPr>
        <w:t xml:space="preserve"> К-2</w:t>
      </w:r>
      <w:r>
        <w:rPr>
          <w:sz w:val="28"/>
          <w:szCs w:val="28"/>
        </w:rPr>
        <w:t>. Материал модуля также участвует в развитии компетенции К-3 в части способности сопоставления возможностей банковских продуктов и страховых и пенсионных программ. Модуль включает в себя следующие учебные элементы:</w:t>
      </w:r>
    </w:p>
    <w:p w:rsidR="00DF56AC" w:rsidRPr="00A07B0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УЭ-2.1«</w:t>
      </w:r>
      <w:r w:rsidRPr="00A07B08">
        <w:rPr>
          <w:sz w:val="28"/>
          <w:szCs w:val="28"/>
        </w:rPr>
        <w:t>Депозиты</w:t>
      </w:r>
      <w:r>
        <w:rPr>
          <w:sz w:val="28"/>
          <w:szCs w:val="28"/>
        </w:rPr>
        <w:t>»;</w:t>
      </w:r>
    </w:p>
    <w:p w:rsidR="00DF56AC" w:rsidRPr="00A07B08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A07B08">
        <w:rPr>
          <w:sz w:val="28"/>
          <w:szCs w:val="28"/>
        </w:rPr>
        <w:t>УЭ-</w:t>
      </w:r>
      <w:r>
        <w:rPr>
          <w:sz w:val="28"/>
          <w:szCs w:val="28"/>
        </w:rPr>
        <w:t>2.</w:t>
      </w:r>
      <w:r w:rsidRPr="00A07B08">
        <w:rPr>
          <w:sz w:val="28"/>
          <w:szCs w:val="28"/>
        </w:rPr>
        <w:t xml:space="preserve">2 </w:t>
      </w:r>
      <w:r>
        <w:rPr>
          <w:sz w:val="28"/>
          <w:szCs w:val="28"/>
        </w:rPr>
        <w:t>«</w:t>
      </w:r>
      <w:r w:rsidRPr="00A07B08">
        <w:rPr>
          <w:sz w:val="28"/>
          <w:szCs w:val="28"/>
        </w:rPr>
        <w:t>Кредитование</w:t>
      </w:r>
      <w:r>
        <w:rPr>
          <w:sz w:val="28"/>
          <w:szCs w:val="28"/>
        </w:rPr>
        <w:t>»;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УЭ-2.3«</w:t>
      </w:r>
      <w:r w:rsidRPr="00A07B08">
        <w:rPr>
          <w:sz w:val="28"/>
          <w:szCs w:val="28"/>
        </w:rPr>
        <w:t>Защита прав потребителей финансовых услуг</w:t>
      </w:r>
      <w:r>
        <w:rPr>
          <w:sz w:val="28"/>
          <w:szCs w:val="28"/>
        </w:rPr>
        <w:t>».</w:t>
      </w:r>
    </w:p>
    <w:p w:rsidR="00DF56AC" w:rsidRDefault="00DF56AC" w:rsidP="0073289C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Модуль М-3 «Общественные финансы» направлен на развитие компетенции К-3. Специфика данного модуля заключается во включении в состав общественных финансов страховых отношений в соответствии с их функцией консолидации ресурсов и </w:t>
      </w:r>
      <w:proofErr w:type="gramStart"/>
      <w:r>
        <w:rPr>
          <w:sz w:val="28"/>
          <w:szCs w:val="28"/>
        </w:rPr>
        <w:t>обеспечения</w:t>
      </w:r>
      <w:proofErr w:type="gramEnd"/>
      <w:r>
        <w:rPr>
          <w:sz w:val="28"/>
          <w:szCs w:val="28"/>
        </w:rPr>
        <w:t xml:space="preserve"> общественных благ (обоснование подобной модели представлено на Втором экономическом конгрессе представителями Института Экономики РАН</w:t>
      </w:r>
      <w:r w:rsidR="007E464E">
        <w:rPr>
          <w:sz w:val="28"/>
          <w:szCs w:val="28"/>
          <w:lang w:val="en-US"/>
        </w:rPr>
        <w:t> </w:t>
      </w:r>
      <w:r>
        <w:rPr>
          <w:rStyle w:val="ac"/>
          <w:sz w:val="28"/>
          <w:szCs w:val="28"/>
        </w:rPr>
        <w:footnoteReference w:id="9"/>
      </w:r>
      <w:r w:rsidR="008F7DC7">
        <w:rPr>
          <w:sz w:val="28"/>
          <w:szCs w:val="28"/>
        </w:rPr>
        <w:t>)</w:t>
      </w:r>
      <w:r>
        <w:rPr>
          <w:sz w:val="28"/>
          <w:szCs w:val="28"/>
        </w:rPr>
        <w:t>. Материалы модуля также способствуют развитию компетенций К-1 и К-2 в части формирования навыков управления финансовыми и нефинансовыми рисками с использованием программ страхования. В соответствии с этим в состав модуля включены учебные элементы:</w:t>
      </w:r>
    </w:p>
    <w:p w:rsidR="00DF56AC" w:rsidRPr="00EC362B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УЭ-3.1 «</w:t>
      </w:r>
      <w:r w:rsidRPr="00EC362B">
        <w:rPr>
          <w:sz w:val="28"/>
          <w:szCs w:val="28"/>
        </w:rPr>
        <w:t>Страхование</w:t>
      </w:r>
      <w:r>
        <w:rPr>
          <w:sz w:val="28"/>
          <w:szCs w:val="28"/>
        </w:rPr>
        <w:t>»;</w:t>
      </w:r>
    </w:p>
    <w:p w:rsidR="00DF56AC" w:rsidRPr="00EC362B" w:rsidRDefault="00DF56AC" w:rsidP="00220E79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УЭ-3.2 «</w:t>
      </w:r>
      <w:r w:rsidRPr="00EC362B">
        <w:rPr>
          <w:sz w:val="28"/>
          <w:szCs w:val="28"/>
        </w:rPr>
        <w:t>Пенсионное планирование</w:t>
      </w:r>
      <w:r>
        <w:rPr>
          <w:sz w:val="28"/>
          <w:szCs w:val="28"/>
        </w:rPr>
        <w:t>»;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УЭ-3.3 «</w:t>
      </w:r>
      <w:r w:rsidRPr="00EC362B">
        <w:rPr>
          <w:sz w:val="28"/>
          <w:szCs w:val="28"/>
        </w:rPr>
        <w:t>Налоги</w:t>
      </w:r>
      <w:r>
        <w:rPr>
          <w:sz w:val="28"/>
          <w:szCs w:val="28"/>
        </w:rPr>
        <w:t>».</w:t>
      </w:r>
    </w:p>
    <w:p w:rsidR="00DF56AC" w:rsidRDefault="00DF56AC" w:rsidP="00CE5D14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Учебные элементы в своей совокупности реализуют развитие у обучаемых знаний и навыков, формирующих компетенции. Соответствующая методическая структура учебной программы, обеспечивающая преемственность и взаимосвязь материала учебных модулей, приводится ниже.</w:t>
      </w:r>
    </w:p>
    <w:p w:rsidR="00DF56AC" w:rsidRPr="00AC0AC8" w:rsidRDefault="00AC0AC8" w:rsidP="00AC0AC8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134"/>
        <w:gridCol w:w="1276"/>
        <w:gridCol w:w="850"/>
        <w:gridCol w:w="1134"/>
      </w:tblGrid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Состав компетенций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Форма реали</w:t>
            </w:r>
            <w:r w:rsidRPr="00EE7BF1">
              <w:rPr>
                <w:szCs w:val="24"/>
              </w:rPr>
              <w:softHyphen/>
              <w:t>зации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Учебный</w:t>
            </w:r>
          </w:p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элемент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Мо</w:t>
            </w:r>
            <w:r w:rsidRPr="00EE7BF1">
              <w:rPr>
                <w:szCs w:val="24"/>
              </w:rPr>
              <w:softHyphen/>
              <w:t>дуль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Ком</w:t>
            </w:r>
            <w:r w:rsidRPr="00EE7BF1">
              <w:rPr>
                <w:szCs w:val="24"/>
              </w:rPr>
              <w:softHyphen/>
              <w:t>пе</w:t>
            </w:r>
            <w:r w:rsidRPr="00EE7BF1">
              <w:rPr>
                <w:szCs w:val="24"/>
              </w:rPr>
              <w:softHyphen/>
              <w:t>тен</w:t>
            </w:r>
            <w:r w:rsidRPr="00EE7BF1">
              <w:rPr>
                <w:szCs w:val="24"/>
              </w:rPr>
              <w:softHyphen/>
              <w:t>ция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8F7DC7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ЗНАНИЯ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структура личного (семейного) бюджета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виды и свойства активов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основные принципы финансового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взаимосвязь риска и доходности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классификация видов рисков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метод оценки финансового риска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признаки добросовестности финансо</w:t>
            </w:r>
            <w:r w:rsidRPr="00EE7BF1">
              <w:rPr>
                <w:szCs w:val="24"/>
              </w:rPr>
              <w:softHyphen/>
              <w:t>вых институтов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К-2, К-3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правила финансовой безопасности при взаимодействии с финансовыми институтами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К-2, К-3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природа и причины инфляции;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структура и состав потребительской корзины и методы оценки ее стоимости, индекс потребительских цен и его связь с уровнем инфляции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информационные источники, публикующие данные о темпах инфляции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К-3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виды финансовых инструментов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показатели, характеризующие доходность финансовых инструментов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4664CD">
        <w:trPr>
          <w:cantSplit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наличие котировок финансовых инструментов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</w:tbl>
    <w:p w:rsidR="00E17DD6" w:rsidRDefault="00E17DD6">
      <w:r>
        <w:br w:type="page"/>
      </w:r>
    </w:p>
    <w:p w:rsidR="00E17DD6" w:rsidRPr="00E17DD6" w:rsidRDefault="00E17DD6" w:rsidP="00E17DD6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E17DD6">
        <w:rPr>
          <w:b/>
          <w:sz w:val="28"/>
          <w:szCs w:val="28"/>
        </w:rPr>
        <w:t>Продолжение таблицы 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17"/>
        <w:gridCol w:w="1276"/>
        <w:gridCol w:w="850"/>
        <w:gridCol w:w="1134"/>
      </w:tblGrid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основные характеристики банковских депозитов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изменение доходности при различных формах начисления и выплаты процентов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формы привлечения средств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функционирование системы страхования вкладов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налогообложение дохода по вкладам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принципы взаимоотношений банка с возможными заемщиками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 xml:space="preserve">методы оценки </w:t>
            </w:r>
            <w:proofErr w:type="spellStart"/>
            <w:r w:rsidRPr="00EE7BF1">
              <w:rPr>
                <w:szCs w:val="24"/>
              </w:rPr>
              <w:t>кредито</w:t>
            </w:r>
            <w:proofErr w:type="spellEnd"/>
            <w:r w:rsidRPr="00EE7BF1">
              <w:rPr>
                <w:szCs w:val="24"/>
              </w:rPr>
              <w:t>- и платежеспособности клиентов банками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влияние риска невозврата кредита на процентную ставку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существенные особенности  заключения кредитных договоров.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права потребителей в сфере финансовых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органы, осуществляющие защиту прав потребителей финансовых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сущность страховых отношений, основные страховые термины и понятия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принципы расчёта стоимости страховой услуги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виды страхования и  состояние отечественного страхового рынка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структура пенсионной системы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представление об основных направлениях пенсионного обеспечения и видах пенсий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базовые правила формирования пенсионных накоплений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8F7DC7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виды и характеристики налогов, взимаемы</w:t>
            </w:r>
            <w:r w:rsidR="008F7DC7">
              <w:rPr>
                <w:szCs w:val="24"/>
              </w:rPr>
              <w:t>х</w:t>
            </w:r>
            <w:r w:rsidRPr="00EE7BF1">
              <w:rPr>
                <w:szCs w:val="24"/>
              </w:rPr>
              <w:t xml:space="preserve">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объекты налогообложения и ставки налогов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права налогоплательщиков по налоговым льготам и вычетам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nil"/>
            </w:tcBorders>
          </w:tcPr>
          <w:p w:rsidR="00DF56AC" w:rsidRDefault="00DF56AC" w:rsidP="008F7DC7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НАВЫКИ</w:t>
            </w:r>
          </w:p>
          <w:p w:rsidR="008F7DC7" w:rsidRPr="00EE7BF1" w:rsidRDefault="008F7DC7" w:rsidP="008F7DC7">
            <w:pPr>
              <w:tabs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оценка имеющихся активов с точки зрения их надежности, доходности, ликвидности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формирование собственной финансовой стратегии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планирование денежных потоков на среднесрочную перспективу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</w:t>
            </w:r>
          </w:p>
        </w:tc>
      </w:tr>
    </w:tbl>
    <w:p w:rsidR="004664CD" w:rsidRDefault="004664CD">
      <w:r>
        <w:br w:type="page"/>
      </w:r>
    </w:p>
    <w:p w:rsidR="004664CD" w:rsidRPr="00E17DD6" w:rsidRDefault="004664CD" w:rsidP="004664CD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E17DD6">
        <w:rPr>
          <w:b/>
          <w:sz w:val="28"/>
          <w:szCs w:val="28"/>
        </w:rPr>
        <w:t>Продолжение таблицы 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17"/>
        <w:gridCol w:w="1276"/>
        <w:gridCol w:w="850"/>
        <w:gridCol w:w="1134"/>
      </w:tblGrid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предупреждение долговой ловушки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оценка величины финансового риска в зависимости от планируемой доходности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осуществление финансового планирования с учетом рисков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оценка добросовестности и надежности финансовых институтов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выявление финансового мошенничества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расчет результирующего уровня (темпа) инфляции и среднего уровня инфляции за период времени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оценка доходности финансовых операций при различных схемах начисления и получения дохода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оценка доходности финансовых операций с учетом инфляции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анализ доходности и сопоставление депозитных продуктов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выбор оптимальных условий вклада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планирование суммы размещаемых в банке средств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выбор банка для надежного размещения средств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анализ маркетинговых предложений банков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сравнение креди</w:t>
            </w:r>
            <w:r w:rsidR="008F7DC7">
              <w:rPr>
                <w:szCs w:val="24"/>
              </w:rPr>
              <w:t>тных предложений,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8F7DC7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выбор оптимальных условий получения кредита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A20C0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A20C0A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УЭ-1.4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A20C0A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A20C0A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распознавание недобросовестных кредитных предложений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выявление нарушения своих прав при использовании финансовых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действия по защите своих прав как потребителя финансовых услуг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УЭ-2.3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выбор вида страхования, необходимого для защиты индивидуальных имущественных интересов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рас</w:t>
            </w:r>
            <w:r w:rsidR="008F7DC7">
              <w:rPr>
                <w:szCs w:val="24"/>
              </w:rPr>
              <w:t>чет стоимости страхового полиса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К-3</w:t>
            </w:r>
          </w:p>
        </w:tc>
      </w:tr>
      <w:tr w:rsidR="008F7DC7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8F7DC7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выбор страховщика для получения нужной страховой услуги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A20C0A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A20C0A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A20C0A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7DC7" w:rsidRPr="00EE7BF1" w:rsidRDefault="008F7DC7" w:rsidP="00A20C0A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оценка имеющихся пенсионных прав для понимания возможного выбора будущего вида пенсии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пенсионное планирование с учетом имеющихся возможностей, предоставленных государством и частными структурами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</w:tbl>
    <w:p w:rsidR="004664CD" w:rsidRDefault="004664CD">
      <w:r>
        <w:br w:type="page"/>
      </w:r>
    </w:p>
    <w:p w:rsidR="004664CD" w:rsidRPr="00E17DD6" w:rsidRDefault="004664CD" w:rsidP="004664CD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E17DD6">
        <w:rPr>
          <w:b/>
          <w:sz w:val="28"/>
          <w:szCs w:val="28"/>
        </w:rPr>
        <w:t>Продолжение таблицы 3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17"/>
        <w:gridCol w:w="1276"/>
        <w:gridCol w:w="850"/>
        <w:gridCol w:w="1134"/>
      </w:tblGrid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понимание сущности и порядка расчета налогов и налоговых вычетов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использование налоговых вычетов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К-2, К-3</w:t>
            </w:r>
          </w:p>
        </w:tc>
      </w:tr>
      <w:tr w:rsidR="00DF56AC" w:rsidRPr="0032251A" w:rsidTr="008F7DC7">
        <w:trPr>
          <w:cantSplit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left"/>
              <w:rPr>
                <w:szCs w:val="24"/>
              </w:rPr>
            </w:pPr>
            <w:r w:rsidRPr="00EE7BF1">
              <w:rPr>
                <w:szCs w:val="24"/>
              </w:rPr>
              <w:t>использование информационных технологий при личном финансовом  планировании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jc w:val="center"/>
              <w:rPr>
                <w:szCs w:val="24"/>
              </w:rPr>
            </w:pPr>
            <w:r w:rsidRPr="00EE7BF1">
              <w:rPr>
                <w:szCs w:val="24"/>
              </w:rPr>
              <w:t>практикум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УЭ-3.3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М-1, М-3, М-2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6AC" w:rsidRPr="00EE7BF1" w:rsidRDefault="00DF56AC" w:rsidP="00EE7BF1">
            <w:pPr>
              <w:tabs>
                <w:tab w:val="left" w:pos="1134"/>
              </w:tabs>
              <w:rPr>
                <w:szCs w:val="24"/>
              </w:rPr>
            </w:pPr>
            <w:r w:rsidRPr="00EE7BF1">
              <w:rPr>
                <w:szCs w:val="24"/>
              </w:rPr>
              <w:t>К-1, К-2, К-3</w:t>
            </w:r>
          </w:p>
        </w:tc>
      </w:tr>
    </w:tbl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Каждый м</w:t>
      </w:r>
      <w:r w:rsidRPr="007A7508">
        <w:rPr>
          <w:sz w:val="28"/>
          <w:szCs w:val="28"/>
        </w:rPr>
        <w:t>одуль является законченным блоком</w:t>
      </w:r>
      <w:r>
        <w:rPr>
          <w:sz w:val="28"/>
          <w:szCs w:val="28"/>
        </w:rPr>
        <w:t xml:space="preserve"> информации и</w:t>
      </w:r>
      <w:r w:rsidRPr="007A7508">
        <w:rPr>
          <w:sz w:val="28"/>
          <w:szCs w:val="28"/>
        </w:rPr>
        <w:t xml:space="preserve"> включает в себя</w:t>
      </w:r>
      <w:r>
        <w:rPr>
          <w:sz w:val="28"/>
          <w:szCs w:val="28"/>
        </w:rPr>
        <w:t>: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7A7508">
        <w:rPr>
          <w:sz w:val="28"/>
          <w:szCs w:val="28"/>
        </w:rPr>
        <w:t xml:space="preserve">) </w:t>
      </w:r>
      <w:r>
        <w:rPr>
          <w:sz w:val="28"/>
          <w:szCs w:val="28"/>
        </w:rPr>
        <w:t>Пояснительную записку в составе:</w:t>
      </w:r>
    </w:p>
    <w:p w:rsidR="00DF56AC" w:rsidRPr="00881750" w:rsidRDefault="00DF56AC" w:rsidP="00A231B1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881750">
        <w:rPr>
          <w:sz w:val="28"/>
          <w:szCs w:val="28"/>
        </w:rPr>
        <w:t xml:space="preserve">описание внешней среды и ситуаций, в которых применимы полученные знания и навыки, с выделением характерных для целевой аудитории финансовых рисков; </w:t>
      </w:r>
    </w:p>
    <w:p w:rsidR="00DF56AC" w:rsidRPr="00881750" w:rsidRDefault="00DF56AC" w:rsidP="00A231B1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881750">
        <w:rPr>
          <w:sz w:val="28"/>
          <w:szCs w:val="28"/>
        </w:rPr>
        <w:t>результаты, на получение которых нацелен учебный модуль</w:t>
      </w:r>
      <w:r>
        <w:rPr>
          <w:sz w:val="28"/>
          <w:szCs w:val="28"/>
        </w:rPr>
        <w:t>;</w:t>
      </w:r>
    </w:p>
    <w:p w:rsidR="00DF56AC" w:rsidRPr="00881750" w:rsidRDefault="00DF56AC" w:rsidP="00A231B1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881750">
        <w:rPr>
          <w:sz w:val="28"/>
          <w:szCs w:val="28"/>
        </w:rPr>
        <w:t>обоснование видов и форм занятий;</w:t>
      </w:r>
    </w:p>
    <w:p w:rsidR="00DF56AC" w:rsidRDefault="00DF56AC" w:rsidP="00A231B1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881750">
        <w:rPr>
          <w:sz w:val="28"/>
          <w:szCs w:val="28"/>
        </w:rPr>
        <w:t>форм</w:t>
      </w:r>
      <w:r w:rsidR="000712A5">
        <w:rPr>
          <w:sz w:val="28"/>
          <w:szCs w:val="28"/>
        </w:rPr>
        <w:t>а</w:t>
      </w:r>
      <w:r w:rsidRPr="00881750">
        <w:rPr>
          <w:sz w:val="28"/>
          <w:szCs w:val="28"/>
        </w:rPr>
        <w:t xml:space="preserve"> контроля;</w:t>
      </w:r>
    </w:p>
    <w:p w:rsidR="00DF56AC" w:rsidRPr="00881750" w:rsidRDefault="00DF56AC" w:rsidP="00A231B1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881750">
        <w:rPr>
          <w:sz w:val="28"/>
          <w:szCs w:val="28"/>
        </w:rPr>
        <w:t>требования к техническому оснащению учебного процесса.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Учебно-тематический план, детализированный по учебным элементам и отдельным темам, рассматриваемым в составе учебных элементов.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 </w:t>
      </w:r>
      <w:r w:rsidR="00DF56AC">
        <w:rPr>
          <w:sz w:val="28"/>
          <w:szCs w:val="28"/>
        </w:rPr>
        <w:t>Квалификационные требования к привлекаемым преподавателям</w:t>
      </w:r>
      <w:r>
        <w:rPr>
          <w:sz w:val="28"/>
          <w:szCs w:val="28"/>
        </w:rPr>
        <w:t>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</w:t>
      </w:r>
      <w:r w:rsidR="000712A5">
        <w:rPr>
          <w:sz w:val="28"/>
          <w:szCs w:val="28"/>
        </w:rPr>
        <w:t> </w:t>
      </w:r>
      <w:r>
        <w:rPr>
          <w:sz w:val="28"/>
          <w:szCs w:val="28"/>
        </w:rPr>
        <w:t>Содержание учебной программы в виде конспектов занятий в объеме, достаточном для реализации задач модуля, а также позволяющем при необходимости проводить углубленное изучение отдельных вопросов.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 </w:t>
      </w:r>
      <w:r w:rsidR="00DF56AC">
        <w:rPr>
          <w:sz w:val="28"/>
          <w:szCs w:val="28"/>
        </w:rPr>
        <w:t>Методические рекомендации для преподавателей, обеспечивающие необходимое качество преподавания.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6) </w:t>
      </w:r>
      <w:r w:rsidR="00DF56AC">
        <w:rPr>
          <w:sz w:val="28"/>
          <w:szCs w:val="28"/>
        </w:rPr>
        <w:t>Список использованных источников.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7)</w:t>
      </w:r>
      <w:r w:rsidR="000712A5">
        <w:rPr>
          <w:sz w:val="28"/>
          <w:szCs w:val="28"/>
        </w:rPr>
        <w:t> </w:t>
      </w:r>
      <w:r>
        <w:rPr>
          <w:sz w:val="28"/>
          <w:szCs w:val="28"/>
        </w:rPr>
        <w:t>Тестовые задания для контроля усвоения материала учебного модуля.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8) </w:t>
      </w:r>
      <w:r w:rsidR="00DF56AC">
        <w:rPr>
          <w:sz w:val="28"/>
          <w:szCs w:val="28"/>
        </w:rPr>
        <w:t>Глоссарий.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9) </w:t>
      </w:r>
      <w:r w:rsidR="00DF56AC">
        <w:rPr>
          <w:sz w:val="28"/>
          <w:szCs w:val="28"/>
        </w:rPr>
        <w:t>Комплект рабочих материалов, пред</w:t>
      </w:r>
      <w:r>
        <w:rPr>
          <w:sz w:val="28"/>
          <w:szCs w:val="28"/>
        </w:rPr>
        <w:t>о</w:t>
      </w:r>
      <w:r w:rsidR="00DF56AC">
        <w:rPr>
          <w:sz w:val="28"/>
          <w:szCs w:val="28"/>
        </w:rPr>
        <w:t xml:space="preserve">ставляемых </w:t>
      </w:r>
      <w:proofErr w:type="gramStart"/>
      <w:r w:rsidR="00DF56AC">
        <w:rPr>
          <w:sz w:val="28"/>
          <w:szCs w:val="28"/>
        </w:rPr>
        <w:t>обучаемым</w:t>
      </w:r>
      <w:proofErr w:type="gramEnd"/>
      <w:r w:rsidR="00DF56AC">
        <w:rPr>
          <w:sz w:val="28"/>
          <w:szCs w:val="28"/>
        </w:rPr>
        <w:t>.</w:t>
      </w:r>
    </w:p>
    <w:p w:rsidR="00DF56AC" w:rsidRPr="00E716FD" w:rsidRDefault="00DF56AC" w:rsidP="00AC0AC8">
      <w:pPr>
        <w:pStyle w:val="3"/>
      </w:pPr>
      <w:r w:rsidRPr="004C2F4C">
        <w:t>Мотивационная модель</w:t>
      </w:r>
    </w:p>
    <w:p w:rsidR="00DF56AC" w:rsidRDefault="00DF56AC" w:rsidP="001D7174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Мотивационная модель повышения компетенций целевой аудитории в рамках настоящей программы основана на доведении до слушателей необходимости осознания ответственности за личную или семейную финансовую безопасность и снижения неоправданных </w:t>
      </w:r>
      <w:proofErr w:type="gramStart"/>
      <w:r>
        <w:rPr>
          <w:sz w:val="28"/>
          <w:szCs w:val="28"/>
        </w:rPr>
        <w:t>ожиданий</w:t>
      </w:r>
      <w:proofErr w:type="gramEnd"/>
      <w:r>
        <w:rPr>
          <w:sz w:val="28"/>
          <w:szCs w:val="28"/>
        </w:rPr>
        <w:t xml:space="preserve"> как в объеме социальных обязательств государства, так и в отношении компенсации финансовых и материальных потерь домохозяйств. 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</w:p>
    <w:p w:rsidR="00DF56AC" w:rsidRDefault="00512254" w:rsidP="00977FBC">
      <w:p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83605" cy="15563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605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6AC" w:rsidRPr="00E17DD6" w:rsidRDefault="00E17DD6" w:rsidP="00E17DD6">
      <w:pPr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E17DD6">
        <w:rPr>
          <w:b/>
          <w:sz w:val="28"/>
          <w:szCs w:val="28"/>
        </w:rPr>
        <w:t>Рисунок 1</w:t>
      </w:r>
    </w:p>
    <w:p w:rsidR="00E17DD6" w:rsidRDefault="00E17DD6" w:rsidP="00977FBC">
      <w:pPr>
        <w:tabs>
          <w:tab w:val="left" w:pos="1134"/>
        </w:tabs>
        <w:spacing w:line="360" w:lineRule="auto"/>
        <w:rPr>
          <w:sz w:val="28"/>
          <w:szCs w:val="28"/>
        </w:rPr>
      </w:pPr>
    </w:p>
    <w:p w:rsidR="00DF56AC" w:rsidRDefault="00DF56AC" w:rsidP="00977FBC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Реализация мотивационной модели в процессе обучения обеспечивается: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 ф</w:t>
      </w:r>
      <w:r w:rsidR="00DF56AC">
        <w:rPr>
          <w:sz w:val="28"/>
          <w:szCs w:val="28"/>
        </w:rPr>
        <w:t>ормулировкой и доведением до аудитории целевых установок компетенций в доступной форме с учетом особенностей социального воспитания, полученного до развития в России рыночных отношений;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 о</w:t>
      </w:r>
      <w:r w:rsidR="00DF56AC">
        <w:rPr>
          <w:sz w:val="28"/>
          <w:szCs w:val="28"/>
        </w:rPr>
        <w:t>беспечением объема учебного материала, необходимого для освоения базовых знаний и получения первоначального уровня умений, адаптацией матер</w:t>
      </w:r>
      <w:r>
        <w:rPr>
          <w:sz w:val="28"/>
          <w:szCs w:val="28"/>
        </w:rPr>
        <w:t>иала к уровню целевой аудитории;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3) п</w:t>
      </w:r>
      <w:r w:rsidR="00DF56AC">
        <w:rPr>
          <w:sz w:val="28"/>
          <w:szCs w:val="28"/>
        </w:rPr>
        <w:t xml:space="preserve">редставлением возможности для самостоятельного углубления полученных знаний. В учебный материал включены ссылки на источники информации, при помощи которых полученные знания и умения могут быть развиты самостоятельно, прежде </w:t>
      </w:r>
      <w:proofErr w:type="gramStart"/>
      <w:r w:rsidR="00DF56AC">
        <w:rPr>
          <w:sz w:val="28"/>
          <w:szCs w:val="28"/>
        </w:rPr>
        <w:t>всего</w:t>
      </w:r>
      <w:proofErr w:type="gramEnd"/>
      <w:r w:rsidR="00DF56AC">
        <w:rPr>
          <w:sz w:val="28"/>
          <w:szCs w:val="28"/>
        </w:rPr>
        <w:t xml:space="preserve"> представителями аудитории, заинтересованными в повышении компью</w:t>
      </w:r>
      <w:r>
        <w:rPr>
          <w:sz w:val="28"/>
          <w:szCs w:val="28"/>
        </w:rPr>
        <w:t>терной и финансовой грамотности;</w:t>
      </w:r>
    </w:p>
    <w:p w:rsidR="00DF56AC" w:rsidRDefault="000712A5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4) ф</w:t>
      </w:r>
      <w:r w:rsidR="00DF56AC">
        <w:rPr>
          <w:sz w:val="28"/>
          <w:szCs w:val="28"/>
        </w:rPr>
        <w:t>ормулированием квалификационных требований к привлекаемым преподавателям, включающих в себя как необходимый уровень профессиональных знаний, так и уровень владения современными образовательными технологиями, опыт взаимодействия с аудиторией при реализации программ финансовой грамотности.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5)</w:t>
      </w:r>
      <w:r w:rsidR="000712A5">
        <w:rPr>
          <w:sz w:val="28"/>
          <w:szCs w:val="28"/>
        </w:rPr>
        <w:t> в</w:t>
      </w:r>
      <w:r>
        <w:rPr>
          <w:sz w:val="28"/>
          <w:szCs w:val="28"/>
        </w:rPr>
        <w:t>ыбором и обоснованием форм обучения, использованием в учебном процессе современных образовательных технологий, обеспечением обратной связи аудитории с преподавателями.</w:t>
      </w:r>
    </w:p>
    <w:p w:rsidR="00552548" w:rsidRDefault="00552548" w:rsidP="00552548">
      <w:pPr>
        <w:pStyle w:val="1"/>
      </w:pPr>
      <w:bookmarkStart w:id="2" w:name="_Toc414614692"/>
      <w:r>
        <w:t>Режим обучения</w:t>
      </w:r>
      <w:bookmarkEnd w:id="2"/>
    </w:p>
    <w:p w:rsidR="00DF56AC" w:rsidRPr="00552548" w:rsidRDefault="00552548" w:rsidP="00AC0AC8">
      <w:pPr>
        <w:pStyle w:val="2"/>
      </w:pPr>
      <w:bookmarkStart w:id="3" w:name="_Toc414614693"/>
      <w:r>
        <w:t>Используемые формы обучения</w:t>
      </w:r>
      <w:bookmarkEnd w:id="3"/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техническим заданием формами учебных занятий могут являться лекции, семинары, практикумы и консультации. Обоснование используемых видов занятий основывается на следующих определениях:</w:t>
      </w:r>
    </w:p>
    <w:p w:rsidR="00DF56AC" w:rsidRDefault="00DF56AC" w:rsidP="001E689C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Лекция – </w:t>
      </w:r>
      <w:r w:rsidRPr="00B202E2">
        <w:rPr>
          <w:sz w:val="28"/>
          <w:szCs w:val="28"/>
        </w:rPr>
        <w:t xml:space="preserve">устное систематическое и последовательное изложение </w:t>
      </w:r>
      <w:r>
        <w:rPr>
          <w:sz w:val="28"/>
          <w:szCs w:val="28"/>
        </w:rPr>
        <w:t>материала в рамках учебного модуля. В соответствии с техническим заданием продолжительность 1 лекционного занятия не превышает 30 минут. За время лекций аудитории даются базовые знания в соответствии с целевой установкой модуля. Основные формулировки базовых знаний отражаются в учебных материалах, пред</w:t>
      </w:r>
      <w:r w:rsidR="00D82DF1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ставляемых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>. Для облегчения восприятия материала учебные материалы снабжаются полями для возможности конспектирования, дополнения и уточнения.</w:t>
      </w:r>
    </w:p>
    <w:p w:rsidR="00DF56AC" w:rsidRDefault="00DF56AC" w:rsidP="001E689C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Семинар как форма организации учебного занятия предполагает представление обучающимися сообщений, докладов, рефератов в соответствии с заданными темами и их дальнейшее обсуждение и оценку. Такая форма занятий предполагает обязательную самостоятельную работу обучающихся</w:t>
      </w:r>
      <w:r w:rsidR="00D82DF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ограничивает роль преподавателя функциями координатора и модератора. Данный вид занятий не согласуется с особенностями и уровнем подготовки целевой аудитории, мотивационной моделью программы, а также выходит за временные рамки учебных модулей. В связи с этим семинары в качестве формы учебных занятий в программе не предусмотрены.</w:t>
      </w:r>
    </w:p>
    <w:p w:rsidR="00DF56AC" w:rsidRDefault="00DF56AC" w:rsidP="0004240D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Практикумы (практические занятия) – занятия, проводимые под руководством преподавателя и </w:t>
      </w:r>
      <w:r w:rsidRPr="00055FCD">
        <w:rPr>
          <w:sz w:val="28"/>
          <w:szCs w:val="28"/>
        </w:rPr>
        <w:t>направленн</w:t>
      </w:r>
      <w:r>
        <w:rPr>
          <w:sz w:val="28"/>
          <w:szCs w:val="28"/>
        </w:rPr>
        <w:t>ые</w:t>
      </w:r>
      <w:r w:rsidRPr="00055FCD">
        <w:rPr>
          <w:sz w:val="28"/>
          <w:szCs w:val="28"/>
        </w:rPr>
        <w:t xml:space="preserve"> на углубление научн</w:t>
      </w:r>
      <w:proofErr w:type="gramStart"/>
      <w:r w:rsidRPr="00055FCD">
        <w:rPr>
          <w:sz w:val="28"/>
          <w:szCs w:val="28"/>
        </w:rPr>
        <w:t>о-</w:t>
      </w:r>
      <w:proofErr w:type="gramEnd"/>
      <w:r w:rsidRPr="00055FCD">
        <w:rPr>
          <w:sz w:val="28"/>
          <w:szCs w:val="28"/>
        </w:rPr>
        <w:t xml:space="preserve"> теоретических знаний и овладение </w:t>
      </w:r>
      <w:r w:rsidR="00EA5E3A">
        <w:rPr>
          <w:sz w:val="28"/>
          <w:szCs w:val="28"/>
        </w:rPr>
        <w:t>практическими</w:t>
      </w:r>
      <w:r w:rsidRPr="00055FCD">
        <w:rPr>
          <w:sz w:val="28"/>
          <w:szCs w:val="28"/>
        </w:rPr>
        <w:t xml:space="preserve"> методами самостоятельной работы. В процессе таких занятий вырабатываются </w:t>
      </w:r>
      <w:r>
        <w:rPr>
          <w:sz w:val="28"/>
          <w:szCs w:val="28"/>
        </w:rPr>
        <w:t>навыки, сформулированные в рамках целевой установки. При проведении практикумов преподаватель использует базовый план проведения семинара или осуществляет выбор из нескольких возможных вариантов в соответствии с интересами или уровнем подготовки аудитории.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Консультации предполагают личное общение преподавателя с представителями аудитории по частным вопросам. С учетом психологических особенностей целевой аудитории (нежелание публичного обсуждения личных вопросов) такая форма занятий представляется малоэффективной. Ответы на вопросы предполагается включить в программу </w:t>
      </w:r>
      <w:r w:rsidR="00D82DF1">
        <w:rPr>
          <w:sz w:val="28"/>
          <w:szCs w:val="28"/>
        </w:rPr>
        <w:t>практических занятий</w:t>
      </w:r>
      <w:r>
        <w:rPr>
          <w:sz w:val="28"/>
          <w:szCs w:val="28"/>
        </w:rPr>
        <w:t xml:space="preserve"> (заключительная часть) без выделения консультаций в качестве формы обучения. При этом методические материалы для преподавателей включают в себя ответы на часто задаваемые вопросы, адаптированные для уровня подготовки слушателей.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Таким образом, формами учебных занятий в соответствии с программой являются лекции и практические занятия.</w:t>
      </w:r>
    </w:p>
    <w:p w:rsidR="00DF56AC" w:rsidRPr="00552548" w:rsidRDefault="00AF66EB" w:rsidP="00552548">
      <w:pPr>
        <w:pStyle w:val="1"/>
      </w:pPr>
      <w:bookmarkStart w:id="4" w:name="_Toc414614694"/>
      <w:r>
        <w:t>Учебн</w:t>
      </w:r>
      <w:r w:rsidR="00552548">
        <w:t xml:space="preserve">о-тематический </w:t>
      </w:r>
      <w:r>
        <w:t>план</w:t>
      </w:r>
      <w:bookmarkEnd w:id="4"/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Общий учебный план программы рассчитан на 20 академических часов занятий, включая 2 часа на входное и выходное тестирование.</w:t>
      </w:r>
    </w:p>
    <w:p w:rsidR="00DF56AC" w:rsidRDefault="00DF56AC" w:rsidP="00A231B1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Продолжительность занятий составляет 5 дней по 4</w:t>
      </w:r>
      <w:r w:rsidR="00444544">
        <w:rPr>
          <w:sz w:val="28"/>
          <w:szCs w:val="28"/>
        </w:rPr>
        <w:t xml:space="preserve"> – 4,5</w:t>
      </w:r>
      <w:r>
        <w:rPr>
          <w:sz w:val="28"/>
          <w:szCs w:val="28"/>
        </w:rPr>
        <w:t xml:space="preserve"> академических часа с </w:t>
      </w:r>
      <w:r w:rsidR="00444544">
        <w:rPr>
          <w:sz w:val="28"/>
          <w:szCs w:val="28"/>
        </w:rPr>
        <w:t>одним 15-</w:t>
      </w:r>
      <w:r>
        <w:rPr>
          <w:sz w:val="28"/>
          <w:szCs w:val="28"/>
        </w:rPr>
        <w:t xml:space="preserve">минутным </w:t>
      </w:r>
      <w:proofErr w:type="spellStart"/>
      <w:r>
        <w:rPr>
          <w:sz w:val="28"/>
          <w:szCs w:val="28"/>
        </w:rPr>
        <w:t>перерыв</w:t>
      </w:r>
      <w:r w:rsidR="00444544">
        <w:rPr>
          <w:sz w:val="28"/>
          <w:szCs w:val="28"/>
        </w:rPr>
        <w:t>ом</w:t>
      </w:r>
      <w:proofErr w:type="gramStart"/>
      <w:r>
        <w:rPr>
          <w:sz w:val="28"/>
          <w:szCs w:val="28"/>
        </w:rPr>
        <w:t>.</w:t>
      </w:r>
      <w:r w:rsidR="00E35336">
        <w:rPr>
          <w:sz w:val="28"/>
          <w:szCs w:val="28"/>
        </w:rPr>
        <w:t>Г</w:t>
      </w:r>
      <w:proofErr w:type="gramEnd"/>
      <w:r w:rsidR="00E35336">
        <w:rPr>
          <w:sz w:val="28"/>
          <w:szCs w:val="28"/>
        </w:rPr>
        <w:t>рафик</w:t>
      </w:r>
      <w:proofErr w:type="spellEnd"/>
      <w:r w:rsidR="00E35336">
        <w:rPr>
          <w:sz w:val="28"/>
          <w:szCs w:val="28"/>
        </w:rPr>
        <w:t xml:space="preserve"> проведения занятий – через один день (понедельник, среда, пятница, понедельник, среда).</w:t>
      </w:r>
    </w:p>
    <w:p w:rsidR="00AC0AC8" w:rsidRDefault="00AC0AC8">
      <w:pPr>
        <w:jc w:val="left"/>
        <w:rPr>
          <w:rFonts w:eastAsiaTheme="majorEastAsia"/>
          <w:b/>
          <w:bCs/>
          <w:sz w:val="26"/>
          <w:szCs w:val="26"/>
        </w:rPr>
      </w:pPr>
      <w:r>
        <w:br w:type="page"/>
      </w:r>
    </w:p>
    <w:p w:rsidR="000E5FC1" w:rsidRDefault="00552548" w:rsidP="00AC0AC8">
      <w:pPr>
        <w:pStyle w:val="2"/>
      </w:pPr>
      <w:bookmarkStart w:id="5" w:name="_Toc414614695"/>
      <w:r>
        <w:t>Количество учебных часов, отводимых на различные формы занятий</w:t>
      </w:r>
      <w:bookmarkEnd w:id="5"/>
    </w:p>
    <w:p w:rsidR="00552548" w:rsidRPr="00AC0AC8" w:rsidRDefault="00AC0AC8" w:rsidP="00AC0AC8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4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4049"/>
        <w:gridCol w:w="1039"/>
        <w:gridCol w:w="1039"/>
        <w:gridCol w:w="1040"/>
      </w:tblGrid>
      <w:tr w:rsidR="00444544" w:rsidRPr="00444544" w:rsidTr="00AC0AC8">
        <w:trPr>
          <w:cantSplit/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t>День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t>Код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t>Количество академических часов</w:t>
            </w:r>
          </w:p>
        </w:tc>
      </w:tr>
      <w:tr w:rsidR="00444544" w:rsidRPr="00444544" w:rsidTr="00AC0AC8">
        <w:trPr>
          <w:trHeight w:val="6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44" w:rsidRPr="00444544" w:rsidRDefault="00444544" w:rsidP="00444544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44" w:rsidRPr="00444544" w:rsidRDefault="00444544" w:rsidP="00444544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544" w:rsidRPr="00444544" w:rsidRDefault="00444544" w:rsidP="00444544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t>Лек</w:t>
            </w: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softHyphen/>
              <w:t>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t>Прак</w:t>
            </w: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softHyphen/>
              <w:t>ти</w:t>
            </w:r>
            <w:r w:rsidRPr="00444544">
              <w:rPr>
                <w:rFonts w:eastAsia="Times New Roman"/>
                <w:color w:val="000000"/>
                <w:szCs w:val="24"/>
                <w:lang w:eastAsia="ru-RU"/>
              </w:rPr>
              <w:softHyphen/>
              <w:t>кум</w:t>
            </w:r>
          </w:p>
        </w:tc>
      </w:tr>
      <w:tr w:rsidR="00E35336" w:rsidRPr="00444544" w:rsidTr="00AC0AC8">
        <w:trPr>
          <w:cantSplit/>
          <w:trHeight w:val="3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Входное тестирование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  <w:tr w:rsidR="00E35336" w:rsidRPr="00444544" w:rsidTr="00AC0AC8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M-1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Личное финансовое планирование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E35336" w:rsidRPr="00444544" w:rsidTr="00AC0AC8">
        <w:trPr>
          <w:cantSplit/>
          <w:trHeight w:val="3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val="en-US" w:eastAsia="ru-RU"/>
              </w:rPr>
              <w:t>M-1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Личное финансовое планирование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F25362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F25362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35336" w:rsidRPr="00444544" w:rsidTr="00AC0AC8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М-2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Банковские услуги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35336" w:rsidRPr="00444544" w:rsidTr="00AC0AC8">
        <w:trPr>
          <w:cantSplit/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М-2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Банковские услуги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35336" w:rsidRPr="00444544" w:rsidTr="00AC0AC8">
        <w:trPr>
          <w:cantSplit/>
          <w:trHeight w:val="3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М-2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Банковские услуги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35336" w:rsidRPr="00444544" w:rsidTr="00AC0AC8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М-3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Общественные финансы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E35336" w:rsidRPr="00444544" w:rsidTr="00AC0AC8">
        <w:trPr>
          <w:cantSplit/>
          <w:trHeight w:val="3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М-3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Общественные финансы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E35336" w:rsidRPr="00444544" w:rsidTr="00AC0AC8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336" w:rsidRPr="00444544" w:rsidRDefault="00E35336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Выходное тестирование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35336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336" w:rsidRPr="00E35336" w:rsidRDefault="00E35336" w:rsidP="00E35336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–</w:t>
            </w:r>
          </w:p>
        </w:tc>
      </w:tr>
      <w:tr w:rsidR="00444544" w:rsidRPr="00444544" w:rsidTr="00AC0AC8">
        <w:trPr>
          <w:cantSplit/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444544" w:rsidP="00444544">
            <w:pPr>
              <w:jc w:val="left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444544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44544"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F25362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544" w:rsidRPr="00444544" w:rsidRDefault="00F25362" w:rsidP="00444544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</w:tbl>
    <w:p w:rsidR="00AC0AC8" w:rsidRDefault="00AC0AC8" w:rsidP="00AC0AC8">
      <w:pPr>
        <w:pStyle w:val="2"/>
      </w:pPr>
    </w:p>
    <w:p w:rsidR="00552548" w:rsidRPr="00AC0AC8" w:rsidRDefault="00552548" w:rsidP="00AC0AC8">
      <w:pPr>
        <w:pStyle w:val="2"/>
      </w:pPr>
      <w:bookmarkStart w:id="6" w:name="_Toc414614696"/>
      <w:r w:rsidRPr="00AC0AC8">
        <w:t xml:space="preserve">Формы и </w:t>
      </w:r>
      <w:r w:rsidR="00AC0AC8" w:rsidRPr="00AC0AC8">
        <w:t>в</w:t>
      </w:r>
      <w:r w:rsidRPr="00AC0AC8">
        <w:t>иды контроля</w:t>
      </w:r>
      <w:bookmarkEnd w:id="6"/>
    </w:p>
    <w:p w:rsidR="00552548" w:rsidRDefault="00552548" w:rsidP="00552548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модульным принципом построения учебной программы для каждого учебного модуля разработаны тестовые вопросы, охватывающие базовые знания и позволяющие оценить умения в соответствии с каждой уровневой компетенцией. Вместе с тем, проведение тестирования по окончании каждого учебного модуля не представляется целесообразным по следующим причинам:</w:t>
      </w:r>
    </w:p>
    <w:p w:rsidR="00552548" w:rsidRDefault="00552548" w:rsidP="00552548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1) Нерациональное использование учебного времени, так как организация тестирования (раздача и сбор заданий, инструктаж о порядке прохождения теста) требует дополнительных временных затрат.</w:t>
      </w:r>
    </w:p>
    <w:p w:rsidR="00552548" w:rsidRDefault="00552548" w:rsidP="00552548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Проведение входного и выходного тестирования для каждого модуля не согласуется с мотивационной моделью программы, так как способствует сдвигу мотивации с реализации целевой установки к обеспечению желаемого результата тестирования. Кроме того, участие преподавателя в организации тестирования может способствовать нарушению контакта с аудиторией.</w:t>
      </w:r>
    </w:p>
    <w:p w:rsidR="00552548" w:rsidRDefault="00552548" w:rsidP="00552548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связи с этим программой предусматривается проведение единого входного (до начала занятий) и выходного (после окончания программы) тестирования продолжительностью 1 академический час каждое, включающего в себя оценку уровня компетенций, соответствующих программе трех модулей. Тестирование должен проводить отдельный исполнитель, не привлекаемый в качестве преподавателя для работы с данной группой. </w:t>
      </w:r>
    </w:p>
    <w:p w:rsidR="00552548" w:rsidRDefault="00552548" w:rsidP="0055254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Комплект тестов включает в себя 2 варианта заданий, один из которых используется для входного, второй –  для выходного контроля. Знания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результатам тестирования оцениваются по следующей шкале:</w:t>
      </w:r>
    </w:p>
    <w:p w:rsidR="00552548" w:rsidRDefault="00552548" w:rsidP="00552548">
      <w:pPr>
        <w:tabs>
          <w:tab w:val="left" w:pos="49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менее 30%</w:t>
      </w:r>
      <w:r>
        <w:rPr>
          <w:sz w:val="28"/>
          <w:szCs w:val="28"/>
        </w:rPr>
        <w:tab/>
        <w:t>неудовлетворительно</w:t>
      </w:r>
    </w:p>
    <w:p w:rsidR="00552548" w:rsidRDefault="00552548" w:rsidP="00552548">
      <w:pPr>
        <w:tabs>
          <w:tab w:val="left" w:pos="49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30 – 55%</w:t>
      </w:r>
      <w:r>
        <w:rPr>
          <w:sz w:val="28"/>
          <w:szCs w:val="28"/>
        </w:rPr>
        <w:tab/>
        <w:t>удовлетворительно</w:t>
      </w:r>
    </w:p>
    <w:p w:rsidR="00552548" w:rsidRDefault="00552548" w:rsidP="00552548">
      <w:pPr>
        <w:tabs>
          <w:tab w:val="left" w:pos="49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55 – 75%</w:t>
      </w:r>
      <w:r>
        <w:rPr>
          <w:sz w:val="28"/>
          <w:szCs w:val="28"/>
        </w:rPr>
        <w:tab/>
        <w:t>хорошо</w:t>
      </w:r>
    </w:p>
    <w:p w:rsidR="00552548" w:rsidRDefault="00552548" w:rsidP="00552548">
      <w:pPr>
        <w:tabs>
          <w:tab w:val="left" w:pos="49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более 75%</w:t>
      </w:r>
      <w:r>
        <w:rPr>
          <w:sz w:val="28"/>
          <w:szCs w:val="28"/>
        </w:rPr>
        <w:tab/>
        <w:t>отлично</w:t>
      </w:r>
    </w:p>
    <w:p w:rsidR="00552548" w:rsidRDefault="00552548" w:rsidP="0055254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изучения программы производится раздельно по вопросам каждого модуля на основании изменения среднего по группе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 xml:space="preserve"> результата входного и выходного тестирования:</w:t>
      </w:r>
    </w:p>
    <w:p w:rsidR="00552548" w:rsidRDefault="00552548" w:rsidP="00552548">
      <w:pPr>
        <w:tabs>
          <w:tab w:val="left" w:pos="49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менее 20%</w:t>
      </w:r>
      <w:r>
        <w:rPr>
          <w:sz w:val="28"/>
          <w:szCs w:val="28"/>
        </w:rPr>
        <w:tab/>
        <w:t>низкая</w:t>
      </w:r>
    </w:p>
    <w:p w:rsidR="00552548" w:rsidRDefault="00552548" w:rsidP="00552548">
      <w:pPr>
        <w:tabs>
          <w:tab w:val="left" w:pos="49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20 – 50%</w:t>
      </w:r>
      <w:r>
        <w:rPr>
          <w:sz w:val="28"/>
          <w:szCs w:val="28"/>
        </w:rPr>
        <w:tab/>
        <w:t>средняя</w:t>
      </w:r>
    </w:p>
    <w:p w:rsidR="00552548" w:rsidRDefault="00552548" w:rsidP="00552548">
      <w:pPr>
        <w:tabs>
          <w:tab w:val="left" w:pos="496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свыше 50%</w:t>
      </w:r>
      <w:r>
        <w:rPr>
          <w:sz w:val="28"/>
          <w:szCs w:val="28"/>
        </w:rPr>
        <w:tab/>
        <w:t>высокая</w:t>
      </w:r>
    </w:p>
    <w:p w:rsidR="00552548" w:rsidRDefault="00552548" w:rsidP="00552548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качестве дополнительного выходного контроля используется опрос слушателей по завершении изучения каждого модуля. Опрос проводится на основании листов, в которых обучаемые самостоятельно оценивают степень усвоения отдельных вопросов:</w:t>
      </w:r>
    </w:p>
    <w:p w:rsidR="00552548" w:rsidRPr="00F82145" w:rsidRDefault="00552548" w:rsidP="00552548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F82145">
        <w:rPr>
          <w:sz w:val="28"/>
          <w:szCs w:val="28"/>
        </w:rPr>
        <w:t>достаточн</w:t>
      </w:r>
      <w:r>
        <w:rPr>
          <w:sz w:val="28"/>
          <w:szCs w:val="28"/>
        </w:rPr>
        <w:t>ая</w:t>
      </w:r>
      <w:r w:rsidRPr="00F82145">
        <w:rPr>
          <w:sz w:val="28"/>
          <w:szCs w:val="28"/>
        </w:rPr>
        <w:t xml:space="preserve"> степен</w:t>
      </w:r>
      <w:r>
        <w:rPr>
          <w:sz w:val="28"/>
          <w:szCs w:val="28"/>
        </w:rPr>
        <w:t>ь</w:t>
      </w:r>
      <w:r w:rsidRPr="00F82145">
        <w:rPr>
          <w:sz w:val="28"/>
          <w:szCs w:val="28"/>
        </w:rPr>
        <w:t>;</w:t>
      </w:r>
    </w:p>
    <w:p w:rsidR="00552548" w:rsidRPr="00F82145" w:rsidRDefault="00552548" w:rsidP="00552548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требуе</w:t>
      </w:r>
      <w:r w:rsidRPr="00F82145">
        <w:rPr>
          <w:sz w:val="28"/>
          <w:szCs w:val="28"/>
        </w:rPr>
        <w:t>тся дополнительная информация;</w:t>
      </w:r>
    </w:p>
    <w:p w:rsidR="00552548" w:rsidRPr="00F82145" w:rsidRDefault="00552548" w:rsidP="00552548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недостаточная степень</w:t>
      </w:r>
      <w:r w:rsidRPr="00F82145">
        <w:rPr>
          <w:sz w:val="28"/>
          <w:szCs w:val="28"/>
        </w:rPr>
        <w:t xml:space="preserve"> (требуется повторение обучения).</w:t>
      </w:r>
    </w:p>
    <w:p w:rsidR="00552548" w:rsidRDefault="00552548" w:rsidP="00552548">
      <w:pPr>
        <w:tabs>
          <w:tab w:val="left" w:pos="113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Формы опросных листов включены в состав тестовых заданий учебных модулей. Результаты самоконтроля знаний обучающихся анализируются и используются при корректировке учебной программы на этапе апробации, а также для оценки качества работы преподавателей при реализации программы.</w:t>
      </w:r>
    </w:p>
    <w:p w:rsidR="00552548" w:rsidRPr="00552548" w:rsidRDefault="00552548" w:rsidP="00552548"/>
    <w:p w:rsidR="00DF56AC" w:rsidRPr="007A173C" w:rsidRDefault="00DF56AC" w:rsidP="00552548">
      <w:pPr>
        <w:pStyle w:val="1"/>
      </w:pPr>
      <w:bookmarkStart w:id="7" w:name="_Toc414614697"/>
      <w:r w:rsidRPr="006964E5">
        <w:t>Механизм привлечения слушателей</w:t>
      </w:r>
      <w:bookmarkEnd w:id="7"/>
    </w:p>
    <w:p w:rsidR="00DF56AC" w:rsidRPr="008F3C03" w:rsidRDefault="00DF56AC" w:rsidP="0073289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Pr="008F3C03">
        <w:rPr>
          <w:sz w:val="28"/>
          <w:szCs w:val="28"/>
        </w:rPr>
        <w:t>онтингент обучаемых</w:t>
      </w:r>
      <w:r>
        <w:rPr>
          <w:sz w:val="28"/>
          <w:szCs w:val="28"/>
        </w:rPr>
        <w:t xml:space="preserve"> в объеме</w:t>
      </w:r>
      <w:r w:rsidRPr="008F3C03">
        <w:rPr>
          <w:sz w:val="28"/>
          <w:szCs w:val="28"/>
        </w:rPr>
        <w:t xml:space="preserve"> не менее 350 человек </w:t>
      </w:r>
      <w:r>
        <w:rPr>
          <w:sz w:val="28"/>
          <w:szCs w:val="28"/>
        </w:rPr>
        <w:t>обеспечивается</w:t>
      </w:r>
      <w:r w:rsidRPr="008F3C03">
        <w:rPr>
          <w:sz w:val="28"/>
          <w:szCs w:val="28"/>
        </w:rPr>
        <w:t xml:space="preserve"> проведение</w:t>
      </w:r>
      <w:r>
        <w:rPr>
          <w:sz w:val="28"/>
          <w:szCs w:val="28"/>
        </w:rPr>
        <w:t>м</w:t>
      </w:r>
      <w:r w:rsidRPr="008F3C03">
        <w:rPr>
          <w:sz w:val="28"/>
          <w:szCs w:val="28"/>
        </w:rPr>
        <w:t xml:space="preserve"> информационной кампании.</w:t>
      </w:r>
      <w:r>
        <w:rPr>
          <w:sz w:val="28"/>
          <w:szCs w:val="28"/>
        </w:rPr>
        <w:t xml:space="preserve"> В </w:t>
      </w:r>
      <w:r w:rsidR="00D82DF1">
        <w:rPr>
          <w:sz w:val="28"/>
          <w:szCs w:val="28"/>
        </w:rPr>
        <w:t>ее рамках</w:t>
      </w:r>
      <w:r>
        <w:rPr>
          <w:sz w:val="28"/>
          <w:szCs w:val="28"/>
        </w:rPr>
        <w:t xml:space="preserve"> целевая аудитория информируется о составе программы, сроках и продолжительности обучения, пред</w:t>
      </w:r>
      <w:r w:rsidR="00D82DF1">
        <w:rPr>
          <w:sz w:val="28"/>
          <w:szCs w:val="28"/>
        </w:rPr>
        <w:t>о</w:t>
      </w:r>
      <w:r>
        <w:rPr>
          <w:sz w:val="28"/>
          <w:szCs w:val="28"/>
        </w:rPr>
        <w:t>ставляется контактная и</w:t>
      </w:r>
      <w:r w:rsidR="00D82DF1">
        <w:rPr>
          <w:sz w:val="28"/>
          <w:szCs w:val="28"/>
        </w:rPr>
        <w:t xml:space="preserve">нформация для записи на курсы. </w:t>
      </w:r>
      <w:r>
        <w:rPr>
          <w:sz w:val="28"/>
          <w:szCs w:val="28"/>
        </w:rPr>
        <w:t>Проведение</w:t>
      </w:r>
      <w:r w:rsidRPr="008F3C03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</w:t>
      </w:r>
      <w:r w:rsidRPr="008F3C03">
        <w:rPr>
          <w:sz w:val="28"/>
          <w:szCs w:val="28"/>
        </w:rPr>
        <w:t xml:space="preserve">й кампании </w:t>
      </w:r>
      <w:r>
        <w:rPr>
          <w:sz w:val="28"/>
          <w:szCs w:val="28"/>
        </w:rPr>
        <w:t>осуществляется с привлечением следующих информационных ресурсов:</w:t>
      </w:r>
    </w:p>
    <w:p w:rsidR="00DF56AC" w:rsidRDefault="00DF56AC" w:rsidP="00A231B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4E11">
        <w:rPr>
          <w:sz w:val="28"/>
          <w:szCs w:val="28"/>
        </w:rPr>
        <w:t>Печатные средства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массовой</w:t>
      </w:r>
      <w:proofErr w:type="gramEnd"/>
      <w:r>
        <w:rPr>
          <w:sz w:val="28"/>
          <w:szCs w:val="28"/>
        </w:rPr>
        <w:t xml:space="preserve"> информации:</w:t>
      </w:r>
    </w:p>
    <w:p w:rsidR="00DF56AC" w:rsidRPr="00E21DD6" w:rsidRDefault="00DF56AC" w:rsidP="00A231B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21DD6">
        <w:rPr>
          <w:sz w:val="28"/>
          <w:szCs w:val="28"/>
        </w:rPr>
        <w:t>«</w:t>
      </w:r>
      <w:proofErr w:type="gramStart"/>
      <w:r w:rsidRPr="00E21DD6">
        <w:rPr>
          <w:sz w:val="28"/>
          <w:szCs w:val="28"/>
        </w:rPr>
        <w:t>Калининградская</w:t>
      </w:r>
      <w:proofErr w:type="gramEnd"/>
      <w:r w:rsidRPr="00E21DD6">
        <w:rPr>
          <w:sz w:val="28"/>
          <w:szCs w:val="28"/>
        </w:rPr>
        <w:t xml:space="preserve"> правда», ежедневная газета, тираж 14500 экз.;</w:t>
      </w:r>
    </w:p>
    <w:p w:rsidR="00DF56AC" w:rsidRPr="00E21DD6" w:rsidRDefault="00DF56AC" w:rsidP="00A231B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21DD6">
        <w:rPr>
          <w:sz w:val="28"/>
          <w:szCs w:val="28"/>
        </w:rPr>
        <w:t>«</w:t>
      </w:r>
      <w:proofErr w:type="gramStart"/>
      <w:r w:rsidRPr="00E21DD6">
        <w:rPr>
          <w:sz w:val="28"/>
          <w:szCs w:val="28"/>
        </w:rPr>
        <w:t>Комсомольская</w:t>
      </w:r>
      <w:proofErr w:type="gramEnd"/>
      <w:r w:rsidRPr="00E21DD6">
        <w:rPr>
          <w:sz w:val="28"/>
          <w:szCs w:val="28"/>
        </w:rPr>
        <w:t xml:space="preserve"> правда в Калининграде», ежедневная газета, тираж 12000–16000, еженедельный выпуск – тираж 52000 – 60000 экз.;</w:t>
      </w:r>
    </w:p>
    <w:p w:rsidR="00DF56AC" w:rsidRPr="00E21DD6" w:rsidRDefault="00DF56AC" w:rsidP="00A231B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Pr="00E21DD6">
        <w:rPr>
          <w:sz w:val="28"/>
          <w:szCs w:val="28"/>
        </w:rPr>
        <w:t>Страна Калининград</w:t>
      </w:r>
      <w:r>
        <w:rPr>
          <w:sz w:val="28"/>
          <w:szCs w:val="28"/>
        </w:rPr>
        <w:t>»</w:t>
      </w:r>
      <w:r w:rsidRPr="00E21DD6">
        <w:rPr>
          <w:sz w:val="28"/>
          <w:szCs w:val="28"/>
        </w:rPr>
        <w:t>, еженедельная газета, тираж 32000 экз.</w:t>
      </w:r>
    </w:p>
    <w:p w:rsidR="00794E11" w:rsidRDefault="00794E11" w:rsidP="00A231B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Радиостанции:</w:t>
      </w:r>
    </w:p>
    <w:p w:rsidR="00794E11" w:rsidRDefault="00910EB0" w:rsidP="004D152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794E11">
        <w:rPr>
          <w:sz w:val="28"/>
          <w:szCs w:val="28"/>
        </w:rPr>
        <w:t>адиостанция «Маяк» (региональные блоки). 102,5</w:t>
      </w:r>
      <w:r w:rsidR="00794E11" w:rsidRPr="004D1529">
        <w:rPr>
          <w:sz w:val="28"/>
          <w:szCs w:val="28"/>
        </w:rPr>
        <w:t>FM</w:t>
      </w:r>
      <w:r w:rsidR="00794E11">
        <w:rPr>
          <w:sz w:val="28"/>
          <w:szCs w:val="28"/>
        </w:rPr>
        <w:t xml:space="preserve">, аудитория 45,5 тыс. слушателей. Характеристика аудитории: </w:t>
      </w:r>
      <w:r w:rsidR="007C0E19">
        <w:rPr>
          <w:sz w:val="28"/>
          <w:szCs w:val="28"/>
        </w:rPr>
        <w:t>возраст старше 45 лет, образование – среднее, уровень дохода средний</w:t>
      </w:r>
      <w:r w:rsidR="007C0E19" w:rsidRPr="004D1529">
        <w:rPr>
          <w:vertAlign w:val="superscript"/>
        </w:rPr>
        <w:footnoteReference w:id="10"/>
      </w:r>
      <w:r>
        <w:rPr>
          <w:sz w:val="28"/>
          <w:szCs w:val="28"/>
        </w:rPr>
        <w:t>;</w:t>
      </w:r>
    </w:p>
    <w:p w:rsidR="00A0141E" w:rsidRPr="00AF66EB" w:rsidRDefault="00910EB0" w:rsidP="004D1529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A0141E">
        <w:rPr>
          <w:sz w:val="28"/>
          <w:szCs w:val="28"/>
        </w:rPr>
        <w:t>адиостанция «Радио России –</w:t>
      </w:r>
      <w:r w:rsidR="00A0141E" w:rsidRPr="00A0141E">
        <w:rPr>
          <w:sz w:val="28"/>
          <w:szCs w:val="28"/>
        </w:rPr>
        <w:t xml:space="preserve"> Янтарь</w:t>
      </w:r>
      <w:r w:rsidR="00A0141E">
        <w:rPr>
          <w:sz w:val="28"/>
          <w:szCs w:val="28"/>
        </w:rPr>
        <w:t>». 102,5</w:t>
      </w:r>
      <w:r w:rsidR="00A0141E" w:rsidRPr="004D1529">
        <w:rPr>
          <w:sz w:val="28"/>
          <w:szCs w:val="28"/>
        </w:rPr>
        <w:t>FM</w:t>
      </w:r>
      <w:r w:rsidR="00A0141E">
        <w:rPr>
          <w:sz w:val="28"/>
          <w:szCs w:val="28"/>
        </w:rPr>
        <w:t xml:space="preserve">, целевая аудитория: </w:t>
      </w:r>
      <w:r w:rsidR="00A0141E" w:rsidRPr="00AF66EB">
        <w:rPr>
          <w:sz w:val="28"/>
          <w:szCs w:val="28"/>
        </w:rPr>
        <w:t>пенсионеры 42,7%, женщины 70%, уровень дохода – ниже среднего</w:t>
      </w:r>
      <w:r w:rsidR="00A0141E" w:rsidRPr="00AF66EB">
        <w:rPr>
          <w:vertAlign w:val="superscript"/>
        </w:rPr>
        <w:footnoteReference w:id="11"/>
      </w:r>
      <w:r w:rsidR="00A0141E" w:rsidRPr="00AF66EB">
        <w:rPr>
          <w:sz w:val="28"/>
          <w:szCs w:val="28"/>
        </w:rPr>
        <w:t>.</w:t>
      </w:r>
    </w:p>
    <w:p w:rsidR="00DF56AC" w:rsidRPr="00AF66EB" w:rsidRDefault="00794E11" w:rsidP="00A231B1">
      <w:pPr>
        <w:spacing w:line="360" w:lineRule="auto"/>
        <w:ind w:firstLine="709"/>
        <w:rPr>
          <w:sz w:val="28"/>
          <w:szCs w:val="28"/>
        </w:rPr>
      </w:pPr>
      <w:r w:rsidRPr="00AF66EB">
        <w:rPr>
          <w:sz w:val="28"/>
          <w:szCs w:val="28"/>
        </w:rPr>
        <w:t>3</w:t>
      </w:r>
      <w:r w:rsidR="00DF56AC" w:rsidRPr="00AF66EB">
        <w:rPr>
          <w:sz w:val="28"/>
          <w:szCs w:val="28"/>
        </w:rPr>
        <w:t>. Электронные ресурсы (официальные сайты) исполнителей:</w:t>
      </w:r>
    </w:p>
    <w:p w:rsidR="00DF56AC" w:rsidRPr="00AF66EB" w:rsidRDefault="00DF56AC" w:rsidP="00A231B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F66EB">
        <w:rPr>
          <w:sz w:val="28"/>
          <w:szCs w:val="28"/>
        </w:rPr>
        <w:t xml:space="preserve">Калининградский технический университет </w:t>
      </w:r>
      <w:hyperlink r:id="rId11" w:history="1">
        <w:r w:rsidRPr="00AF66EB">
          <w:rPr>
            <w:rStyle w:val="a4"/>
            <w:color w:val="auto"/>
            <w:sz w:val="28"/>
            <w:szCs w:val="28"/>
          </w:rPr>
          <w:t>http://klgtu.ru/</w:t>
        </w:r>
      </w:hyperlink>
      <w:r w:rsidR="00910EB0" w:rsidRPr="00AF66EB">
        <w:t>;</w:t>
      </w:r>
    </w:p>
    <w:p w:rsidR="00DF56AC" w:rsidRPr="00AF66EB" w:rsidRDefault="00DF56AC" w:rsidP="00A231B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AF66EB">
        <w:rPr>
          <w:sz w:val="28"/>
          <w:szCs w:val="28"/>
        </w:rPr>
        <w:t xml:space="preserve">Балтийский институт экономики и финансов </w:t>
      </w:r>
      <w:hyperlink r:id="rId12" w:history="1">
        <w:r w:rsidRPr="00AF66EB">
          <w:rPr>
            <w:rStyle w:val="a4"/>
            <w:color w:val="auto"/>
            <w:sz w:val="28"/>
            <w:szCs w:val="28"/>
          </w:rPr>
          <w:t>http://bief.ru/</w:t>
        </w:r>
      </w:hyperlink>
      <w:r w:rsidR="00910EB0" w:rsidRPr="00AF66EB">
        <w:t>.</w:t>
      </w:r>
    </w:p>
    <w:p w:rsidR="00DF56AC" w:rsidRPr="00AF66EB" w:rsidRDefault="00794E11" w:rsidP="00A231B1">
      <w:pPr>
        <w:spacing w:line="360" w:lineRule="auto"/>
        <w:ind w:firstLine="709"/>
        <w:rPr>
          <w:sz w:val="28"/>
          <w:szCs w:val="28"/>
        </w:rPr>
      </w:pPr>
      <w:r w:rsidRPr="00AF66EB">
        <w:rPr>
          <w:sz w:val="28"/>
          <w:szCs w:val="28"/>
        </w:rPr>
        <w:t>4</w:t>
      </w:r>
      <w:r w:rsidR="00DF56AC" w:rsidRPr="00AF66EB">
        <w:rPr>
          <w:sz w:val="28"/>
          <w:szCs w:val="28"/>
        </w:rPr>
        <w:t>. Информационные ресурсы:</w:t>
      </w:r>
    </w:p>
    <w:p w:rsidR="00DF56AC" w:rsidRPr="00AF66EB" w:rsidRDefault="00DF56AC" w:rsidP="00A231B1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F66EB">
        <w:rPr>
          <w:sz w:val="28"/>
          <w:szCs w:val="28"/>
        </w:rPr>
        <w:t xml:space="preserve">Министерство финансов Калининградской области. Новости программы финансовой грамотности. </w:t>
      </w:r>
      <w:hyperlink r:id="rId13" w:history="1">
        <w:r w:rsidRPr="00AF66EB">
          <w:rPr>
            <w:rStyle w:val="a4"/>
            <w:color w:val="auto"/>
            <w:sz w:val="28"/>
            <w:szCs w:val="28"/>
          </w:rPr>
          <w:t>http://www.minfin39.ru/financial_literacy/news.php</w:t>
        </w:r>
      </w:hyperlink>
      <w:r w:rsidR="00910EB0" w:rsidRPr="00AF66EB">
        <w:t>;</w:t>
      </w:r>
    </w:p>
    <w:p w:rsidR="00DF56AC" w:rsidRPr="00AF66EB" w:rsidRDefault="00DF56AC" w:rsidP="00A231B1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AF66EB">
        <w:rPr>
          <w:sz w:val="28"/>
          <w:szCs w:val="28"/>
        </w:rPr>
        <w:t>Калининград.</w:t>
      </w:r>
      <w:r w:rsidRPr="00AF66EB">
        <w:rPr>
          <w:sz w:val="28"/>
          <w:szCs w:val="28"/>
          <w:lang w:val="en-US"/>
        </w:rPr>
        <w:t>RU</w:t>
      </w:r>
      <w:r w:rsidRPr="00AF66EB">
        <w:rPr>
          <w:sz w:val="28"/>
          <w:szCs w:val="28"/>
        </w:rPr>
        <w:t xml:space="preserve">. Финансовая азбука. </w:t>
      </w:r>
      <w:hyperlink r:id="rId14" w:history="1">
        <w:r w:rsidRPr="00AF66EB">
          <w:rPr>
            <w:rStyle w:val="a4"/>
            <w:color w:val="auto"/>
            <w:sz w:val="28"/>
            <w:szCs w:val="28"/>
          </w:rPr>
          <w:t>http://kgd.ru/finazbuka</w:t>
        </w:r>
      </w:hyperlink>
      <w:r w:rsidR="00910EB0" w:rsidRPr="00AF66EB">
        <w:t>;</w:t>
      </w:r>
    </w:p>
    <w:p w:rsidR="00DF56AC" w:rsidRPr="00AF66EB" w:rsidRDefault="00DF56AC" w:rsidP="00A231B1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</w:rPr>
      </w:pPr>
      <w:proofErr w:type="spellStart"/>
      <w:r w:rsidRPr="00AF66EB">
        <w:rPr>
          <w:sz w:val="28"/>
          <w:szCs w:val="28"/>
        </w:rPr>
        <w:t>Клопс</w:t>
      </w:r>
      <w:proofErr w:type="spellEnd"/>
      <w:r w:rsidRPr="00AF66EB">
        <w:rPr>
          <w:sz w:val="28"/>
          <w:szCs w:val="28"/>
        </w:rPr>
        <w:t>.</w:t>
      </w:r>
      <w:r w:rsidRPr="00AF66EB">
        <w:rPr>
          <w:sz w:val="28"/>
          <w:szCs w:val="28"/>
          <w:lang w:val="en-US"/>
        </w:rPr>
        <w:t>RU</w:t>
      </w:r>
      <w:r w:rsidRPr="00AF66EB">
        <w:rPr>
          <w:sz w:val="28"/>
          <w:szCs w:val="28"/>
        </w:rPr>
        <w:t xml:space="preserve">. Деньги. </w:t>
      </w:r>
      <w:hyperlink r:id="rId15" w:history="1">
        <w:r w:rsidRPr="00AF66EB">
          <w:rPr>
            <w:rStyle w:val="a4"/>
            <w:color w:val="auto"/>
            <w:sz w:val="28"/>
            <w:szCs w:val="28"/>
          </w:rPr>
          <w:t>http://klops.ru/news/dengi</w:t>
        </w:r>
      </w:hyperlink>
      <w:r w:rsidR="00910EB0" w:rsidRPr="00AF66EB">
        <w:t>.</w:t>
      </w:r>
    </w:p>
    <w:p w:rsidR="00467A57" w:rsidRDefault="00467A57" w:rsidP="00A231B1">
      <w:pPr>
        <w:spacing w:line="360" w:lineRule="auto"/>
        <w:ind w:firstLine="709"/>
        <w:rPr>
          <w:sz w:val="28"/>
          <w:szCs w:val="28"/>
        </w:rPr>
      </w:pPr>
    </w:p>
    <w:p w:rsidR="00467A57" w:rsidRPr="007124D8" w:rsidRDefault="00467A57" w:rsidP="00467A5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привлечении слушателей следует учитывать </w:t>
      </w:r>
      <w:r w:rsidRPr="007124D8">
        <w:rPr>
          <w:sz w:val="28"/>
          <w:szCs w:val="28"/>
        </w:rPr>
        <w:t>общи</w:t>
      </w:r>
      <w:r>
        <w:rPr>
          <w:sz w:val="28"/>
          <w:szCs w:val="28"/>
        </w:rPr>
        <w:t>е психосоциальные</w:t>
      </w:r>
      <w:r w:rsidRPr="007124D8">
        <w:rPr>
          <w:sz w:val="28"/>
          <w:szCs w:val="28"/>
        </w:rPr>
        <w:t xml:space="preserve"> и поведенчески</w:t>
      </w:r>
      <w:r>
        <w:rPr>
          <w:sz w:val="28"/>
          <w:szCs w:val="28"/>
        </w:rPr>
        <w:t>е</w:t>
      </w:r>
      <w:r w:rsidRPr="007124D8">
        <w:rPr>
          <w:sz w:val="28"/>
          <w:szCs w:val="28"/>
        </w:rPr>
        <w:t xml:space="preserve"> характеристики целевой аудитории. Для </w:t>
      </w:r>
      <w:r>
        <w:rPr>
          <w:sz w:val="28"/>
          <w:szCs w:val="28"/>
        </w:rPr>
        <w:t xml:space="preserve">ее </w:t>
      </w:r>
      <w:r w:rsidRPr="007124D8">
        <w:rPr>
          <w:sz w:val="28"/>
          <w:szCs w:val="28"/>
        </w:rPr>
        <w:t>представителей в</w:t>
      </w:r>
      <w:r>
        <w:rPr>
          <w:sz w:val="28"/>
          <w:szCs w:val="28"/>
        </w:rPr>
        <w:t xml:space="preserve"> значительной степени характерны патернализм,</w:t>
      </w:r>
      <w:r w:rsidRPr="007124D8">
        <w:rPr>
          <w:sz w:val="28"/>
          <w:szCs w:val="28"/>
        </w:rPr>
        <w:t xml:space="preserve"> пониженная способность принятия и реализации самостоятельных решений, </w:t>
      </w:r>
      <w:r>
        <w:rPr>
          <w:sz w:val="28"/>
          <w:szCs w:val="28"/>
        </w:rPr>
        <w:t xml:space="preserve">которые </w:t>
      </w:r>
      <w:r w:rsidRPr="007124D8">
        <w:rPr>
          <w:sz w:val="28"/>
          <w:szCs w:val="28"/>
        </w:rPr>
        <w:t>способны без наличия дополнительной мотивации привести к отказу от участия в программе. Источниками дополнительной мотивации могут являться:</w:t>
      </w:r>
    </w:p>
    <w:p w:rsidR="00467A57" w:rsidRPr="007124D8" w:rsidRDefault="00467A57" w:rsidP="00467A5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124D8">
        <w:rPr>
          <w:sz w:val="28"/>
          <w:szCs w:val="28"/>
        </w:rPr>
        <w:t>наличие оплаты за обучение (в рамках проекта исключается);</w:t>
      </w:r>
    </w:p>
    <w:p w:rsidR="00467A57" w:rsidRPr="007124D8" w:rsidRDefault="00467A57" w:rsidP="00467A57">
      <w:pPr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– </w:t>
      </w:r>
      <w:r w:rsidRPr="007124D8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 xml:space="preserve">достаточной </w:t>
      </w:r>
      <w:r w:rsidRPr="007124D8">
        <w:rPr>
          <w:sz w:val="28"/>
          <w:szCs w:val="28"/>
        </w:rPr>
        <w:t>предварительной информации о программе.</w:t>
      </w:r>
      <w:proofErr w:type="gramEnd"/>
      <w:r w:rsidRPr="007124D8">
        <w:rPr>
          <w:sz w:val="28"/>
          <w:szCs w:val="28"/>
        </w:rPr>
        <w:t xml:space="preserve"> </w:t>
      </w:r>
      <w:proofErr w:type="gramStart"/>
      <w:r w:rsidRPr="007124D8">
        <w:rPr>
          <w:sz w:val="28"/>
          <w:szCs w:val="28"/>
        </w:rPr>
        <w:t xml:space="preserve">Источниками подобной информации могут являться: подробные информационные (не рекламные) материалы в СМИ, прежде всего на телевидении, и получение сведений </w:t>
      </w:r>
      <w:r>
        <w:rPr>
          <w:sz w:val="28"/>
          <w:szCs w:val="28"/>
        </w:rPr>
        <w:t xml:space="preserve">и оценок </w:t>
      </w:r>
      <w:r w:rsidRPr="007124D8">
        <w:rPr>
          <w:sz w:val="28"/>
          <w:szCs w:val="28"/>
        </w:rPr>
        <w:t>от ранее прошедших курс обучения.</w:t>
      </w:r>
      <w:proofErr w:type="gramEnd"/>
      <w:r w:rsidRPr="007124D8">
        <w:rPr>
          <w:sz w:val="28"/>
          <w:szCs w:val="28"/>
        </w:rPr>
        <w:t xml:space="preserve"> На начальных этапах реализации программы эти методы мотивации труднореализуемы ввиду отсутствия достаточного количества лиц, прошедших обучение, и потребности в значительных ресурсах (как материальных, так и временных и организационных) для обеспечения полноценного информационного обеспечения программы в средствах массовой информации.</w:t>
      </w:r>
    </w:p>
    <w:p w:rsidR="00467A57" w:rsidRDefault="00467A57" w:rsidP="00467A5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– с</w:t>
      </w:r>
      <w:r w:rsidRPr="007124D8">
        <w:rPr>
          <w:sz w:val="28"/>
          <w:szCs w:val="28"/>
        </w:rPr>
        <w:t>уществующие связи цел</w:t>
      </w:r>
      <w:r>
        <w:rPr>
          <w:sz w:val="28"/>
          <w:szCs w:val="28"/>
        </w:rPr>
        <w:t>евой аудитории с вертикальными</w:t>
      </w:r>
      <w:r w:rsidRPr="007124D8">
        <w:rPr>
          <w:sz w:val="28"/>
          <w:szCs w:val="28"/>
        </w:rPr>
        <w:t xml:space="preserve"> и горизо</w:t>
      </w:r>
      <w:r>
        <w:rPr>
          <w:sz w:val="28"/>
          <w:szCs w:val="28"/>
        </w:rPr>
        <w:t>нтальными</w:t>
      </w:r>
      <w:r w:rsidRPr="007124D8">
        <w:rPr>
          <w:sz w:val="28"/>
          <w:szCs w:val="28"/>
        </w:rPr>
        <w:t xml:space="preserve"> организационными структурами. </w:t>
      </w:r>
      <w:r>
        <w:rPr>
          <w:sz w:val="28"/>
          <w:szCs w:val="28"/>
        </w:rPr>
        <w:t xml:space="preserve">В качестве вертикальных структур рассматриваются органы государственной власти и местного самоуправления, прежде всего в области социальной защиты и пенсионного обеспечения населения и подведомственные им бюджетные и автономные учреждения, а также профессиональные структуры – преимущественно некоммерческие организации (прежде всего функционирующие в сфере повышения квалификации и дополнительного образования).  </w:t>
      </w:r>
      <w:r w:rsidRPr="007124D8">
        <w:rPr>
          <w:sz w:val="28"/>
          <w:szCs w:val="28"/>
        </w:rPr>
        <w:t xml:space="preserve">При их задействовании для мотивации </w:t>
      </w:r>
      <w:r>
        <w:rPr>
          <w:sz w:val="28"/>
          <w:szCs w:val="28"/>
        </w:rPr>
        <w:t xml:space="preserve">слушателей </w:t>
      </w:r>
      <w:r w:rsidRPr="007124D8">
        <w:rPr>
          <w:sz w:val="28"/>
          <w:szCs w:val="28"/>
        </w:rPr>
        <w:t xml:space="preserve">в участии в программе и для формирования учебных групп свойственная целевой аудитории патерналистская установка, препятствующая самостоятельному подключению к программе, напротив, выступает </w:t>
      </w:r>
      <w:r>
        <w:rPr>
          <w:sz w:val="28"/>
          <w:szCs w:val="28"/>
        </w:rPr>
        <w:t>дополнительным</w:t>
      </w:r>
      <w:r w:rsidRPr="007124D8">
        <w:rPr>
          <w:sz w:val="28"/>
          <w:szCs w:val="28"/>
        </w:rPr>
        <w:t xml:space="preserve"> источником первоначальной </w:t>
      </w:r>
      <w:proofErr w:type="spellStart"/>
      <w:r w:rsidRPr="007124D8">
        <w:rPr>
          <w:sz w:val="28"/>
          <w:szCs w:val="28"/>
        </w:rPr>
        <w:t>мотивации</w:t>
      </w:r>
      <w:proofErr w:type="gramStart"/>
      <w:r w:rsidRPr="007124D8">
        <w:rPr>
          <w:sz w:val="28"/>
          <w:szCs w:val="28"/>
        </w:rPr>
        <w:t>.В</w:t>
      </w:r>
      <w:proofErr w:type="spellEnd"/>
      <w:proofErr w:type="gramEnd"/>
      <w:r w:rsidRPr="007124D8">
        <w:rPr>
          <w:sz w:val="28"/>
          <w:szCs w:val="28"/>
        </w:rPr>
        <w:t xml:space="preserve"> качестве упомянутых организа</w:t>
      </w:r>
      <w:r>
        <w:rPr>
          <w:sz w:val="28"/>
          <w:szCs w:val="28"/>
        </w:rPr>
        <w:t>ционных структур можно выделить следующие.</w:t>
      </w:r>
    </w:p>
    <w:p w:rsidR="00467A57" w:rsidRPr="00121217" w:rsidRDefault="00AC0AC8" w:rsidP="00AC0AC8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AC0AC8">
        <w:rPr>
          <w:b/>
          <w:sz w:val="28"/>
          <w:szCs w:val="28"/>
        </w:rPr>
        <w:t xml:space="preserve">Таблица </w:t>
      </w:r>
      <w:r>
        <w:rPr>
          <w:b/>
          <w:sz w:val="28"/>
          <w:szCs w:val="28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2659"/>
      </w:tblGrid>
      <w:tr w:rsidR="00467A57" w:rsidRPr="00941EF4" w:rsidTr="00AC0AC8">
        <w:trPr>
          <w:cantSplit/>
        </w:trPr>
        <w:tc>
          <w:tcPr>
            <w:tcW w:w="2235" w:type="dxa"/>
          </w:tcPr>
          <w:p w:rsidR="00467A57" w:rsidRPr="00941EF4" w:rsidRDefault="00467A57" w:rsidP="00552548">
            <w:pPr>
              <w:jc w:val="center"/>
              <w:rPr>
                <w:szCs w:val="24"/>
              </w:rPr>
            </w:pPr>
            <w:r>
              <w:br w:type="page"/>
            </w:r>
            <w:r w:rsidRPr="00941EF4">
              <w:rPr>
                <w:szCs w:val="24"/>
              </w:rPr>
              <w:t>Наименование</w:t>
            </w:r>
          </w:p>
        </w:tc>
        <w:tc>
          <w:tcPr>
            <w:tcW w:w="4394" w:type="dxa"/>
          </w:tcPr>
          <w:p w:rsidR="00467A57" w:rsidRPr="00941EF4" w:rsidRDefault="00467A57" w:rsidP="00552548">
            <w:pPr>
              <w:jc w:val="center"/>
              <w:rPr>
                <w:szCs w:val="24"/>
              </w:rPr>
            </w:pPr>
            <w:r w:rsidRPr="00941EF4">
              <w:rPr>
                <w:szCs w:val="24"/>
              </w:rPr>
              <w:t>Достоинства</w:t>
            </w:r>
          </w:p>
        </w:tc>
        <w:tc>
          <w:tcPr>
            <w:tcW w:w="2659" w:type="dxa"/>
          </w:tcPr>
          <w:p w:rsidR="00467A57" w:rsidRPr="00941EF4" w:rsidRDefault="00467A57" w:rsidP="00552548">
            <w:pPr>
              <w:jc w:val="center"/>
              <w:rPr>
                <w:szCs w:val="24"/>
              </w:rPr>
            </w:pPr>
            <w:r w:rsidRPr="00941EF4">
              <w:rPr>
                <w:szCs w:val="24"/>
              </w:rPr>
              <w:t>Недостатки</w:t>
            </w:r>
          </w:p>
        </w:tc>
      </w:tr>
      <w:tr w:rsidR="00467A57" w:rsidRPr="00941EF4" w:rsidTr="00AC0AC8">
        <w:trPr>
          <w:cantSplit/>
        </w:trPr>
        <w:tc>
          <w:tcPr>
            <w:tcW w:w="2235" w:type="dxa"/>
          </w:tcPr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 w:rsidRPr="00941EF4">
              <w:rPr>
                <w:szCs w:val="24"/>
              </w:rPr>
              <w:t xml:space="preserve">Государственные </w:t>
            </w:r>
            <w:r>
              <w:rPr>
                <w:szCs w:val="24"/>
              </w:rPr>
              <w:t xml:space="preserve">и муниципальные </w:t>
            </w:r>
            <w:r w:rsidRPr="00941EF4">
              <w:rPr>
                <w:szCs w:val="24"/>
              </w:rPr>
              <w:t>ор</w:t>
            </w:r>
            <w:r>
              <w:rPr>
                <w:szCs w:val="24"/>
              </w:rPr>
              <w:t>ганы социальной защиты и пенсионного обеспечения населения</w:t>
            </w:r>
          </w:p>
          <w:p w:rsidR="00467A57" w:rsidRPr="00941EF4" w:rsidRDefault="00467A57" w:rsidP="00552548">
            <w:pPr>
              <w:spacing w:after="120"/>
              <w:ind w:left="284"/>
              <w:jc w:val="left"/>
              <w:rPr>
                <w:szCs w:val="24"/>
              </w:rPr>
            </w:pPr>
          </w:p>
        </w:tc>
        <w:tc>
          <w:tcPr>
            <w:tcW w:w="4394" w:type="dxa"/>
          </w:tcPr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Наличие систематизированного учета представителей целевой аудитории;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Сеть подведомственных учреждений;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Возможность стимулирования к участию в программе;</w:t>
            </w:r>
          </w:p>
          <w:p w:rsidR="00467A57" w:rsidRPr="00941EF4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Действующие культурные и социальные программы</w:t>
            </w:r>
          </w:p>
        </w:tc>
        <w:tc>
          <w:tcPr>
            <w:tcW w:w="2659" w:type="dxa"/>
          </w:tcPr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Уровень доходов потенциальных слушателей ниже среднего;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Патерналистская установка слушателей;</w:t>
            </w:r>
          </w:p>
          <w:p w:rsidR="00467A57" w:rsidRPr="00941EF4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Недостаточная учебно-техническая база при проведении занятий на территории учреждений</w:t>
            </w:r>
          </w:p>
        </w:tc>
      </w:tr>
    </w:tbl>
    <w:p w:rsidR="00E17DD6" w:rsidRDefault="00E17DD6">
      <w:r>
        <w:br w:type="page"/>
      </w:r>
    </w:p>
    <w:p w:rsidR="00E17DD6" w:rsidRPr="00E17DD6" w:rsidRDefault="00E17DD6" w:rsidP="00E17DD6">
      <w:pPr>
        <w:tabs>
          <w:tab w:val="left" w:pos="1134"/>
        </w:tabs>
        <w:spacing w:line="360" w:lineRule="auto"/>
        <w:ind w:firstLine="709"/>
        <w:jc w:val="right"/>
        <w:rPr>
          <w:b/>
          <w:sz w:val="28"/>
          <w:szCs w:val="28"/>
        </w:rPr>
      </w:pPr>
      <w:r w:rsidRPr="00E17DD6">
        <w:rPr>
          <w:b/>
          <w:sz w:val="28"/>
          <w:szCs w:val="28"/>
        </w:rPr>
        <w:t>Продолжение таблицы 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4394"/>
        <w:gridCol w:w="2659"/>
      </w:tblGrid>
      <w:tr w:rsidR="00467A57" w:rsidRPr="00941EF4" w:rsidTr="00AC0AC8">
        <w:trPr>
          <w:cantSplit/>
        </w:trPr>
        <w:tc>
          <w:tcPr>
            <w:tcW w:w="2235" w:type="dxa"/>
          </w:tcPr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Общественные организации. </w:t>
            </w:r>
          </w:p>
        </w:tc>
        <w:tc>
          <w:tcPr>
            <w:tcW w:w="4394" w:type="dxa"/>
          </w:tcPr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Повышенная общественная и социальная активность участников;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Возможность формирования групп с учетом интересов, уровня образования, предпочтений слушателей;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Наличие связей внутри группы способствует обмену информацией и продолжению повышения уровня финансовой грамотности;</w:t>
            </w:r>
          </w:p>
          <w:p w:rsidR="00467A57" w:rsidRPr="00941EF4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Наличие организационной структуры дает возможность последующего контроля степени применения полученных знаний на практике.</w:t>
            </w:r>
          </w:p>
        </w:tc>
        <w:tc>
          <w:tcPr>
            <w:tcW w:w="2659" w:type="dxa"/>
          </w:tcPr>
          <w:p w:rsidR="00467A57" w:rsidRPr="00941EF4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Недостаточная учебно-техническая база при проведении занятий на территории организаций</w:t>
            </w:r>
          </w:p>
        </w:tc>
      </w:tr>
      <w:tr w:rsidR="00467A57" w:rsidRPr="00941EF4" w:rsidTr="00AC0AC8">
        <w:trPr>
          <w:cantSplit/>
        </w:trPr>
        <w:tc>
          <w:tcPr>
            <w:tcW w:w="2235" w:type="dxa"/>
          </w:tcPr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Профессиональные структуры.</w:t>
            </w:r>
          </w:p>
        </w:tc>
        <w:tc>
          <w:tcPr>
            <w:tcW w:w="4394" w:type="dxa"/>
          </w:tcPr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Использование ресурсов организаций для формирования групп и мотивации слушателей;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Возможность дифференциации слушателей в группах по уровню образования и возрасту;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Возможность подключения к программам повышения квалификации;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Создание коммуникативной профессиональной среды для продолжения повышения уровня финансовой грамотности в будущем;</w:t>
            </w:r>
          </w:p>
          <w:p w:rsidR="00467A57" w:rsidRPr="00941EF4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Возможность последующего контроля степени применения на практике полученных знаний.</w:t>
            </w:r>
          </w:p>
        </w:tc>
        <w:tc>
          <w:tcPr>
            <w:tcW w:w="2659" w:type="dxa"/>
          </w:tcPr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Нарушение рабочего процесса при проведении занятий на территории организации;</w:t>
            </w:r>
          </w:p>
          <w:p w:rsidR="00467A57" w:rsidRDefault="00467A57" w:rsidP="00552548">
            <w:pPr>
              <w:spacing w:after="120"/>
              <w:jc w:val="left"/>
              <w:rPr>
                <w:szCs w:val="24"/>
              </w:rPr>
            </w:pPr>
            <w:r>
              <w:rPr>
                <w:szCs w:val="24"/>
              </w:rPr>
              <w:t>Недостаточная учебно-техническая база.</w:t>
            </w:r>
          </w:p>
          <w:p w:rsidR="00467A57" w:rsidRPr="00941EF4" w:rsidRDefault="00467A57" w:rsidP="00552548">
            <w:pPr>
              <w:spacing w:after="120"/>
              <w:jc w:val="left"/>
              <w:rPr>
                <w:szCs w:val="24"/>
              </w:rPr>
            </w:pPr>
          </w:p>
        </w:tc>
      </w:tr>
    </w:tbl>
    <w:p w:rsidR="00552548" w:rsidRDefault="00552548" w:rsidP="00A231B1">
      <w:pPr>
        <w:spacing w:line="360" w:lineRule="auto"/>
        <w:ind w:firstLine="709"/>
        <w:rPr>
          <w:sz w:val="28"/>
          <w:szCs w:val="28"/>
        </w:rPr>
      </w:pPr>
    </w:p>
    <w:p w:rsidR="00DF56AC" w:rsidRDefault="00467A57" w:rsidP="00A231B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связи с этим</w:t>
      </w:r>
      <w:r w:rsidR="00DF56AC">
        <w:rPr>
          <w:sz w:val="28"/>
          <w:szCs w:val="28"/>
        </w:rPr>
        <w:t xml:space="preserve"> предполагается направить информационные письма о проведении программы обучения в Отделение Пенсионного фонда Российской Федерации по Калининградской области</w:t>
      </w:r>
      <w:r>
        <w:rPr>
          <w:sz w:val="28"/>
          <w:szCs w:val="28"/>
        </w:rPr>
        <w:t>,</w:t>
      </w:r>
      <w:r w:rsidR="00DF56AC">
        <w:rPr>
          <w:sz w:val="28"/>
          <w:szCs w:val="28"/>
        </w:rPr>
        <w:t xml:space="preserve"> Министерство социальной п</w:t>
      </w:r>
      <w:r>
        <w:rPr>
          <w:sz w:val="28"/>
          <w:szCs w:val="28"/>
        </w:rPr>
        <w:t>олитики Калининградской области, Комитет по социальной политике мэрии ГО «Город Калининград», организовать взаимодействие с администрациями муниципальных образований Калининградской области.</w:t>
      </w:r>
    </w:p>
    <w:p w:rsidR="000D75FE" w:rsidRDefault="00DF56AC" w:rsidP="000D75FE">
      <w:pPr>
        <w:spacing w:line="360" w:lineRule="auto"/>
        <w:ind w:firstLine="709"/>
        <w:rPr>
          <w:sz w:val="28"/>
          <w:szCs w:val="28"/>
        </w:rPr>
      </w:pPr>
      <w:r w:rsidRPr="008F3C03">
        <w:rPr>
          <w:sz w:val="28"/>
          <w:szCs w:val="28"/>
        </w:rPr>
        <w:t>Мероприятия по проведению информационной кампании по привлечению слушателей провод</w:t>
      </w:r>
      <w:r>
        <w:rPr>
          <w:sz w:val="28"/>
          <w:szCs w:val="28"/>
        </w:rPr>
        <w:t>ятся</w:t>
      </w:r>
      <w:r w:rsidRPr="008F3C03">
        <w:rPr>
          <w:sz w:val="28"/>
          <w:szCs w:val="28"/>
        </w:rPr>
        <w:t xml:space="preserve"> периодически в течение срока исполнения </w:t>
      </w:r>
      <w:r>
        <w:rPr>
          <w:sz w:val="28"/>
          <w:szCs w:val="28"/>
        </w:rPr>
        <w:t>реализации проекта</w:t>
      </w:r>
      <w:r w:rsidRPr="008F3C03">
        <w:rPr>
          <w:sz w:val="28"/>
          <w:szCs w:val="28"/>
        </w:rPr>
        <w:t xml:space="preserve"> с пополнением и обновлением информационной базы по итогам обучения групп </w:t>
      </w:r>
      <w:proofErr w:type="spellStart"/>
      <w:r w:rsidRPr="008F3C03">
        <w:rPr>
          <w:sz w:val="28"/>
          <w:szCs w:val="28"/>
        </w:rPr>
        <w:t>слушателей</w:t>
      </w:r>
      <w:proofErr w:type="gramStart"/>
      <w:r w:rsidRPr="008F3C03">
        <w:rPr>
          <w:sz w:val="28"/>
          <w:szCs w:val="28"/>
        </w:rPr>
        <w:t>.В</w:t>
      </w:r>
      <w:proofErr w:type="spellEnd"/>
      <w:proofErr w:type="gramEnd"/>
      <w:r w:rsidRPr="008F3C03">
        <w:rPr>
          <w:sz w:val="28"/>
          <w:szCs w:val="28"/>
        </w:rPr>
        <w:t xml:space="preserve"> результате проведения данной работы в течение срока выполнения третьего этапа </w:t>
      </w:r>
      <w:r>
        <w:rPr>
          <w:sz w:val="28"/>
          <w:szCs w:val="28"/>
        </w:rPr>
        <w:t>должно быть обеспечено</w:t>
      </w:r>
      <w:r w:rsidRPr="008F3C03">
        <w:rPr>
          <w:sz w:val="28"/>
          <w:szCs w:val="28"/>
        </w:rPr>
        <w:t xml:space="preserve"> формирование 17 групп слушателей численностью не менее 20 человек в каждой, чтобы суммарный контингент слушателей, прошедших обучение, составлял не менее 350 человек. При этом следует учитывать возможный отсев слушателей в течение срока обучения по объективным либо субъективным причинам, приводящий к невыходу части обучаемых на итоговое </w:t>
      </w:r>
      <w:proofErr w:type="spellStart"/>
      <w:r w:rsidRPr="008F3C03">
        <w:rPr>
          <w:sz w:val="28"/>
          <w:szCs w:val="28"/>
        </w:rPr>
        <w:t>тестирование</w:t>
      </w:r>
      <w:proofErr w:type="gramStart"/>
      <w:r w:rsidRPr="008F3C03">
        <w:rPr>
          <w:sz w:val="28"/>
          <w:szCs w:val="28"/>
        </w:rPr>
        <w:t>.</w:t>
      </w:r>
      <w:r w:rsidR="000D75FE">
        <w:rPr>
          <w:sz w:val="28"/>
          <w:szCs w:val="28"/>
        </w:rPr>
        <w:t>П</w:t>
      </w:r>
      <w:proofErr w:type="gramEnd"/>
      <w:r w:rsidR="000D75FE">
        <w:rPr>
          <w:sz w:val="28"/>
          <w:szCs w:val="28"/>
        </w:rPr>
        <w:t>о</w:t>
      </w:r>
      <w:proofErr w:type="spellEnd"/>
      <w:r w:rsidR="000D75FE">
        <w:rPr>
          <w:sz w:val="28"/>
          <w:szCs w:val="28"/>
        </w:rPr>
        <w:t xml:space="preserve"> результатам апробации (пилотного внедрения) образовательного курса при формировании учебных групп рекомендуется использовать коэффициент 1,4 к минимальному количеству слушателей (для группы численностью 20 человек осуществляется запись 28 человек).</w:t>
      </w:r>
    </w:p>
    <w:p w:rsidR="00DF56AC" w:rsidRPr="008F3C03" w:rsidRDefault="00DF56AC" w:rsidP="00A231B1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обучения обучающиеся обеспечиваются к</w:t>
      </w:r>
      <w:r w:rsidRPr="008F3C03">
        <w:rPr>
          <w:sz w:val="28"/>
          <w:szCs w:val="28"/>
        </w:rPr>
        <w:t>омплект</w:t>
      </w:r>
      <w:r>
        <w:rPr>
          <w:sz w:val="28"/>
          <w:szCs w:val="28"/>
        </w:rPr>
        <w:t>ами</w:t>
      </w:r>
      <w:r w:rsidRPr="008F3C03">
        <w:rPr>
          <w:sz w:val="28"/>
          <w:szCs w:val="28"/>
        </w:rPr>
        <w:t xml:space="preserve"> рабочих материалов, </w:t>
      </w:r>
      <w:r>
        <w:rPr>
          <w:sz w:val="28"/>
          <w:szCs w:val="28"/>
        </w:rPr>
        <w:t>содержащими</w:t>
      </w:r>
      <w:r w:rsidRPr="008F3C03">
        <w:rPr>
          <w:sz w:val="28"/>
          <w:szCs w:val="28"/>
        </w:rPr>
        <w:t xml:space="preserve"> полный объем </w:t>
      </w:r>
      <w:r>
        <w:rPr>
          <w:sz w:val="28"/>
          <w:szCs w:val="28"/>
        </w:rPr>
        <w:t>информации, включаемой в учебные модули</w:t>
      </w:r>
      <w:r w:rsidRPr="008F3C03">
        <w:rPr>
          <w:sz w:val="28"/>
          <w:szCs w:val="28"/>
        </w:rPr>
        <w:t>.</w:t>
      </w:r>
    </w:p>
    <w:p w:rsidR="00C35FF7" w:rsidRDefault="00C35FF7" w:rsidP="00A231B1">
      <w:pPr>
        <w:spacing w:line="360" w:lineRule="auto"/>
        <w:rPr>
          <w:sz w:val="28"/>
          <w:szCs w:val="28"/>
        </w:rPr>
      </w:pPr>
    </w:p>
    <w:p w:rsidR="00282E62" w:rsidRDefault="00282E62" w:rsidP="00A231B1">
      <w:pPr>
        <w:spacing w:line="360" w:lineRule="auto"/>
        <w:rPr>
          <w:sz w:val="28"/>
          <w:szCs w:val="28"/>
        </w:rPr>
      </w:pPr>
    </w:p>
    <w:p w:rsidR="00DF56AC" w:rsidRDefault="00DF56AC" w:rsidP="00A231B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Руководитель проекта</w:t>
      </w:r>
    </w:p>
    <w:p w:rsidR="00DF56AC" w:rsidRDefault="00DF56AC" w:rsidP="00A231B1">
      <w:pPr>
        <w:tabs>
          <w:tab w:val="left" w:pos="623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д. э. н., профессор</w:t>
      </w:r>
      <w:r>
        <w:rPr>
          <w:sz w:val="28"/>
          <w:szCs w:val="28"/>
        </w:rPr>
        <w:tab/>
        <w:t xml:space="preserve">А. Г. </w:t>
      </w:r>
      <w:proofErr w:type="spellStart"/>
      <w:r>
        <w:rPr>
          <w:sz w:val="28"/>
          <w:szCs w:val="28"/>
        </w:rPr>
        <w:t>Мнацаканян</w:t>
      </w:r>
      <w:proofErr w:type="spellEnd"/>
    </w:p>
    <w:sectPr w:rsidR="00DF56AC" w:rsidSect="00263F77">
      <w:footerReference w:type="even" r:id="rId16"/>
      <w:footerReference w:type="default" r:id="rId17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FD" w:rsidRDefault="00E716FD" w:rsidP="00BC5A5D">
      <w:r>
        <w:separator/>
      </w:r>
    </w:p>
  </w:endnote>
  <w:endnote w:type="continuationSeparator" w:id="0">
    <w:p w:rsidR="00E716FD" w:rsidRDefault="00E716FD" w:rsidP="00BC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FD" w:rsidRDefault="00E716FD" w:rsidP="00C37B8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16FD" w:rsidRDefault="00E716FD" w:rsidP="00263F77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6FD" w:rsidRDefault="00E716FD" w:rsidP="00C37B88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C3DE7">
      <w:rPr>
        <w:rStyle w:val="af0"/>
        <w:noProof/>
      </w:rPr>
      <w:t>2</w:t>
    </w:r>
    <w:r>
      <w:rPr>
        <w:rStyle w:val="af0"/>
      </w:rPr>
      <w:fldChar w:fldCharType="end"/>
    </w:r>
  </w:p>
  <w:p w:rsidR="00E716FD" w:rsidRDefault="00E716FD" w:rsidP="00263F77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FD" w:rsidRDefault="00E716FD" w:rsidP="00BC5A5D">
      <w:r>
        <w:separator/>
      </w:r>
    </w:p>
  </w:footnote>
  <w:footnote w:type="continuationSeparator" w:id="0">
    <w:p w:rsidR="00E716FD" w:rsidRDefault="00E716FD" w:rsidP="00BC5A5D">
      <w:r>
        <w:continuationSeparator/>
      </w:r>
    </w:p>
  </w:footnote>
  <w:footnote w:id="1">
    <w:p w:rsidR="00E716FD" w:rsidRDefault="00E716FD" w:rsidP="00E97FAD">
      <w:pPr>
        <w:pStyle w:val="aa"/>
      </w:pPr>
      <w:r>
        <w:rPr>
          <w:rStyle w:val="ac"/>
        </w:rPr>
        <w:footnoteRef/>
      </w:r>
      <w:r w:rsidRPr="00241E38">
        <w:rPr>
          <w:rStyle w:val="ac"/>
          <w:vertAlign w:val="baseline"/>
        </w:rPr>
        <w:t>Распоряжение Правительства РФ от 17.11.2008 № 1662-р «О Концепции долгосрочного социально-экономического развития Российской Федерации на период до 2020 года»</w:t>
      </w:r>
    </w:p>
  </w:footnote>
  <w:footnote w:id="2">
    <w:p w:rsidR="00E716FD" w:rsidRDefault="00E716FD" w:rsidP="00241E38">
      <w:r w:rsidRPr="00241E38">
        <w:rPr>
          <w:rStyle w:val="ac"/>
          <w:sz w:val="20"/>
          <w:szCs w:val="20"/>
        </w:rPr>
        <w:footnoteRef/>
      </w:r>
      <w:r w:rsidRPr="00241E38">
        <w:rPr>
          <w:sz w:val="20"/>
          <w:szCs w:val="20"/>
          <w:lang w:eastAsia="ru-RU"/>
        </w:rPr>
        <w:t>Распоряжение</w:t>
      </w:r>
      <w:r w:rsidRPr="004A6C5D">
        <w:rPr>
          <w:sz w:val="20"/>
          <w:szCs w:val="20"/>
          <w:lang w:eastAsia="ru-RU"/>
        </w:rPr>
        <w:t xml:space="preserve"> Правительства РФ от 29.12.2008 </w:t>
      </w:r>
      <w:r>
        <w:rPr>
          <w:sz w:val="20"/>
          <w:szCs w:val="20"/>
          <w:lang w:eastAsia="ru-RU"/>
        </w:rPr>
        <w:t>№ 2043-р «</w:t>
      </w:r>
      <w:r w:rsidRPr="004A6C5D">
        <w:rPr>
          <w:sz w:val="20"/>
          <w:szCs w:val="20"/>
          <w:lang w:eastAsia="ru-RU"/>
        </w:rPr>
        <w:t xml:space="preserve">Об утверждении Стратегии развития финансового рынка Российской Федерации на период до </w:t>
      </w:r>
      <w:r>
        <w:rPr>
          <w:sz w:val="20"/>
          <w:szCs w:val="20"/>
          <w:lang w:eastAsia="ru-RU"/>
        </w:rPr>
        <w:t>2020 года»</w:t>
      </w:r>
    </w:p>
  </w:footnote>
  <w:footnote w:id="3">
    <w:p w:rsidR="00E716FD" w:rsidRDefault="00E716FD" w:rsidP="00241E38">
      <w:pPr>
        <w:pStyle w:val="aa"/>
      </w:pPr>
      <w:r w:rsidRPr="00AD55F2">
        <w:rPr>
          <w:rStyle w:val="ac"/>
        </w:rPr>
        <w:footnoteRef/>
      </w:r>
      <w:r w:rsidRPr="00AD55F2">
        <w:t xml:space="preserve"> Постановление Правительства Калининградской области от 23.11.2011 № 891</w:t>
      </w:r>
    </w:p>
  </w:footnote>
  <w:footnote w:id="4">
    <w:p w:rsidR="00E716FD" w:rsidRDefault="00E716FD" w:rsidP="00E50C70">
      <w:pPr>
        <w:pStyle w:val="aa"/>
      </w:pPr>
      <w:r>
        <w:rPr>
          <w:rStyle w:val="ac"/>
        </w:rPr>
        <w:footnoteRef/>
      </w:r>
      <w:r>
        <w:t xml:space="preserve"> Отчет по данным </w:t>
      </w:r>
      <w:proofErr w:type="gramStart"/>
      <w:r>
        <w:t>социологического</w:t>
      </w:r>
      <w:proofErr w:type="gramEnd"/>
      <w:r>
        <w:t xml:space="preserve"> исследования. Цель исследования: изучение состояния финансовой грамотности и степени информированности населения о реализации программы «Повышение уровня финансовой грамотности жителей Калининградской области в 2011 - 2016 годах» / Калининградская социологическая служба. – Декабрь 2013.</w:t>
      </w:r>
    </w:p>
  </w:footnote>
  <w:footnote w:id="5">
    <w:p w:rsidR="00E716FD" w:rsidRDefault="00E716FD" w:rsidP="007502C6">
      <w:pPr>
        <w:pStyle w:val="aa"/>
      </w:pPr>
      <w:r>
        <w:rPr>
          <w:rStyle w:val="ac"/>
        </w:rPr>
        <w:footnoteRef/>
      </w:r>
      <w:r>
        <w:t xml:space="preserve"> Постановление Правительства Калининградской области от 26.05.2011 № 365 «О целевой программе Калининградской области </w:t>
      </w:r>
      <w:r w:rsidRPr="007502C6">
        <w:t>“</w:t>
      </w:r>
      <w:r>
        <w:t>Повышение качества жизни граждан старшего поколения</w:t>
      </w:r>
      <w:r w:rsidRPr="007502C6">
        <w:t>”</w:t>
      </w:r>
      <w:r>
        <w:t xml:space="preserve"> на 2011 – 2013 годы.</w:t>
      </w:r>
    </w:p>
  </w:footnote>
  <w:footnote w:id="6">
    <w:p w:rsidR="00E716FD" w:rsidRDefault="00E716FD" w:rsidP="007F1980">
      <w:pPr>
        <w:pStyle w:val="aa"/>
      </w:pPr>
      <w:r>
        <w:rPr>
          <w:rStyle w:val="ac"/>
        </w:rPr>
        <w:footnoteRef/>
      </w:r>
      <w:r>
        <w:t xml:space="preserve"> Ветераны за компьютерами // </w:t>
      </w:r>
      <w:proofErr w:type="gramStart"/>
      <w:r>
        <w:t>Калининградская</w:t>
      </w:r>
      <w:proofErr w:type="gramEnd"/>
      <w:r>
        <w:t xml:space="preserve"> правда, 17.10.2013.</w:t>
      </w:r>
    </w:p>
  </w:footnote>
  <w:footnote w:id="7">
    <w:p w:rsidR="00E716FD" w:rsidRDefault="00E716FD" w:rsidP="004B711C">
      <w:pPr>
        <w:pStyle w:val="aa"/>
      </w:pPr>
      <w:r>
        <w:rPr>
          <w:rStyle w:val="ac"/>
        </w:rPr>
        <w:footnoteRef/>
      </w:r>
      <w:r>
        <w:t xml:space="preserve"> Зимняя И. А. Ключевые компетентности как результативно-целевая основа </w:t>
      </w:r>
      <w:proofErr w:type="spellStart"/>
      <w:r>
        <w:t>компетентностного</w:t>
      </w:r>
      <w:proofErr w:type="spellEnd"/>
      <w:r>
        <w:t xml:space="preserve"> подхода в образовании. Авторская версия. – М.: Исследовательский центр проблем качества подготовки специалистов, 2004. – С. 34. </w:t>
      </w:r>
    </w:p>
  </w:footnote>
  <w:footnote w:id="8">
    <w:p w:rsidR="00E716FD" w:rsidRDefault="00E716FD" w:rsidP="00102D74">
      <w:pPr>
        <w:pStyle w:val="aa"/>
      </w:pPr>
      <w:r>
        <w:rPr>
          <w:rStyle w:val="ac"/>
        </w:rPr>
        <w:footnoteRef/>
      </w:r>
      <w:r w:rsidRPr="00BC5A5D">
        <w:t xml:space="preserve">Зеленцова, А. В. Повышение финансовой грамотности населения: международный опыт и российская практика / А. В. Зеленцова, Е. А. </w:t>
      </w:r>
      <w:proofErr w:type="spellStart"/>
      <w:r w:rsidRPr="00BC5A5D">
        <w:t>Блискавка</w:t>
      </w:r>
      <w:proofErr w:type="spellEnd"/>
      <w:r w:rsidRPr="00BC5A5D">
        <w:t xml:space="preserve">, Д. Н. Демидов. </w:t>
      </w:r>
      <w:r>
        <w:t>–</w:t>
      </w:r>
      <w:r w:rsidRPr="00BC5A5D">
        <w:t xml:space="preserve"> М.: </w:t>
      </w:r>
      <w:proofErr w:type="spellStart"/>
      <w:r w:rsidRPr="00BC5A5D">
        <w:t>КноРус</w:t>
      </w:r>
      <w:proofErr w:type="spellEnd"/>
      <w:r w:rsidRPr="00BC5A5D">
        <w:t>, 2012. – 106 с.</w:t>
      </w:r>
    </w:p>
  </w:footnote>
  <w:footnote w:id="9">
    <w:p w:rsidR="00E716FD" w:rsidRPr="00AF66EB" w:rsidRDefault="00E716FD" w:rsidP="00613B9D">
      <w:pPr>
        <w:pStyle w:val="aa"/>
      </w:pPr>
      <w:r w:rsidRPr="00AF66EB">
        <w:rPr>
          <w:rStyle w:val="ac"/>
        </w:rPr>
        <w:footnoteRef/>
      </w:r>
      <w:proofErr w:type="spellStart"/>
      <w:r w:rsidRPr="00AF66EB">
        <w:t>Нешитой</w:t>
      </w:r>
      <w:proofErr w:type="spellEnd"/>
      <w:r w:rsidRPr="00AF66EB">
        <w:t xml:space="preserve"> А. С. Общественный сектор экономики и финансы //Конспект доклада на Втором Российском экономическом конгрессе. – 19.02.2013, Суздаль. [Электронный ресурс]. </w:t>
      </w:r>
      <w:r w:rsidRPr="00AF66EB">
        <w:rPr>
          <w:lang w:val="en-US"/>
        </w:rPr>
        <w:t>URL</w:t>
      </w:r>
      <w:r w:rsidRPr="00AF66EB">
        <w:t>:</w:t>
      </w:r>
    </w:p>
    <w:p w:rsidR="00E716FD" w:rsidRDefault="00E716FD" w:rsidP="00613B9D">
      <w:pPr>
        <w:pStyle w:val="aa"/>
      </w:pPr>
      <w:hyperlink r:id="rId1" w:history="1">
        <w:r w:rsidRPr="00AF66EB">
          <w:rPr>
            <w:rStyle w:val="a4"/>
            <w:color w:val="auto"/>
          </w:rPr>
          <w:t>http://www.econorus.org/c2013/program.phtml?vid=report&amp;eid=100&amp;PHPSESSID=78d192nm923trst4qj0e68rdq5</w:t>
        </w:r>
      </w:hyperlink>
    </w:p>
  </w:footnote>
  <w:footnote w:id="10">
    <w:p w:rsidR="00E716FD" w:rsidRPr="00AF66EB" w:rsidRDefault="00E716FD">
      <w:pPr>
        <w:pStyle w:val="aa"/>
        <w:rPr>
          <w:lang w:val="en-US"/>
        </w:rPr>
      </w:pPr>
      <w:r w:rsidRPr="00AF66EB">
        <w:rPr>
          <w:rStyle w:val="ac"/>
        </w:rPr>
        <w:footnoteRef/>
      </w:r>
      <w:r w:rsidRPr="00AF66EB">
        <w:t xml:space="preserve"> Данные РА «</w:t>
      </w:r>
      <w:proofErr w:type="spellStart"/>
      <w:r w:rsidRPr="00AF66EB">
        <w:t>Таргет</w:t>
      </w:r>
      <w:proofErr w:type="spellEnd"/>
      <w:r w:rsidRPr="00AF66EB">
        <w:t xml:space="preserve">». [Электронный ресурс]. </w:t>
      </w:r>
      <w:r w:rsidRPr="00AF66EB">
        <w:rPr>
          <w:lang w:val="en-US"/>
        </w:rPr>
        <w:t xml:space="preserve">URL: </w:t>
      </w:r>
      <w:hyperlink r:id="rId2" w:history="1">
        <w:r w:rsidRPr="00AF66EB">
          <w:rPr>
            <w:rStyle w:val="a4"/>
            <w:color w:val="auto"/>
            <w:lang w:val="en-US"/>
          </w:rPr>
          <w:t>http://www.target-39.ru/radio/Majak.html</w:t>
        </w:r>
      </w:hyperlink>
    </w:p>
    <w:p w:rsidR="00E716FD" w:rsidRPr="00AF66EB" w:rsidRDefault="00E716FD">
      <w:pPr>
        <w:pStyle w:val="aa"/>
        <w:rPr>
          <w:lang w:val="en-US"/>
        </w:rPr>
      </w:pPr>
    </w:p>
  </w:footnote>
  <w:footnote w:id="11">
    <w:p w:rsidR="00E716FD" w:rsidRPr="00A0141E" w:rsidRDefault="00E716FD">
      <w:pPr>
        <w:pStyle w:val="aa"/>
        <w:rPr>
          <w:lang w:val="en-US"/>
        </w:rPr>
      </w:pPr>
      <w:r w:rsidRPr="00AF66EB">
        <w:rPr>
          <w:rStyle w:val="ac"/>
        </w:rPr>
        <w:footnoteRef/>
      </w:r>
      <w:r w:rsidRPr="00AF66EB">
        <w:t xml:space="preserve"> Данные агентства «Реклама Онлайн». [Электронный ресурс]. </w:t>
      </w:r>
      <w:r w:rsidRPr="00AF66EB">
        <w:rPr>
          <w:lang w:val="en-US"/>
        </w:rPr>
        <w:t xml:space="preserve">URL: </w:t>
      </w:r>
      <w:hyperlink r:id="rId3" w:history="1">
        <w:r w:rsidRPr="00AF66EB">
          <w:rPr>
            <w:rStyle w:val="a4"/>
            <w:color w:val="auto"/>
            <w:lang w:val="en-US"/>
          </w:rPr>
          <w:t>http://www.reklama-online.ru/radio-rossii-yantar-kaliningrad/reklama-ceny/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EB6"/>
    <w:multiLevelType w:val="hybridMultilevel"/>
    <w:tmpl w:val="FEA802FE"/>
    <w:lvl w:ilvl="0" w:tplc="99FA95C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3C6D43"/>
    <w:multiLevelType w:val="hybridMultilevel"/>
    <w:tmpl w:val="DC5C46D4"/>
    <w:lvl w:ilvl="0" w:tplc="99FA95C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247694"/>
    <w:multiLevelType w:val="hybridMultilevel"/>
    <w:tmpl w:val="C44C4D6A"/>
    <w:lvl w:ilvl="0" w:tplc="99FA95C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FD08FF"/>
    <w:multiLevelType w:val="hybridMultilevel"/>
    <w:tmpl w:val="A2F0794A"/>
    <w:lvl w:ilvl="0" w:tplc="99FA95C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5BB01A9"/>
    <w:multiLevelType w:val="hybridMultilevel"/>
    <w:tmpl w:val="D3A884B8"/>
    <w:lvl w:ilvl="0" w:tplc="99FA95C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A76CA7"/>
    <w:multiLevelType w:val="hybridMultilevel"/>
    <w:tmpl w:val="31AAB87C"/>
    <w:lvl w:ilvl="0" w:tplc="99FA95C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64575"/>
    <w:multiLevelType w:val="hybridMultilevel"/>
    <w:tmpl w:val="A7A285BA"/>
    <w:lvl w:ilvl="0" w:tplc="99FA95C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7CC"/>
    <w:rsid w:val="00002AAB"/>
    <w:rsid w:val="00006267"/>
    <w:rsid w:val="000067F9"/>
    <w:rsid w:val="0000729D"/>
    <w:rsid w:val="0004240D"/>
    <w:rsid w:val="000426E9"/>
    <w:rsid w:val="00053943"/>
    <w:rsid w:val="00055FCD"/>
    <w:rsid w:val="000640A5"/>
    <w:rsid w:val="0006563B"/>
    <w:rsid w:val="000712A5"/>
    <w:rsid w:val="00077091"/>
    <w:rsid w:val="00084DC3"/>
    <w:rsid w:val="00094C61"/>
    <w:rsid w:val="000A0E31"/>
    <w:rsid w:val="000A5D6A"/>
    <w:rsid w:val="000C19E4"/>
    <w:rsid w:val="000C292B"/>
    <w:rsid w:val="000C2E2B"/>
    <w:rsid w:val="000C6980"/>
    <w:rsid w:val="000D0B07"/>
    <w:rsid w:val="000D2FD6"/>
    <w:rsid w:val="000D70B1"/>
    <w:rsid w:val="000D75FE"/>
    <w:rsid w:val="000D7B0B"/>
    <w:rsid w:val="000E161E"/>
    <w:rsid w:val="000E5FC1"/>
    <w:rsid w:val="000E654E"/>
    <w:rsid w:val="000E6B00"/>
    <w:rsid w:val="000E74F6"/>
    <w:rsid w:val="00102D74"/>
    <w:rsid w:val="001035F1"/>
    <w:rsid w:val="00120E4A"/>
    <w:rsid w:val="0013629E"/>
    <w:rsid w:val="0013727A"/>
    <w:rsid w:val="00141F9A"/>
    <w:rsid w:val="00143317"/>
    <w:rsid w:val="00172451"/>
    <w:rsid w:val="00183804"/>
    <w:rsid w:val="0018702B"/>
    <w:rsid w:val="001C2CA3"/>
    <w:rsid w:val="001C612E"/>
    <w:rsid w:val="001D7174"/>
    <w:rsid w:val="001E22AB"/>
    <w:rsid w:val="001E4D03"/>
    <w:rsid w:val="001E689C"/>
    <w:rsid w:val="001F3D2D"/>
    <w:rsid w:val="00201106"/>
    <w:rsid w:val="00204983"/>
    <w:rsid w:val="002132B6"/>
    <w:rsid w:val="00220E79"/>
    <w:rsid w:val="002215B9"/>
    <w:rsid w:val="0022724F"/>
    <w:rsid w:val="00241E38"/>
    <w:rsid w:val="00247A29"/>
    <w:rsid w:val="002546A8"/>
    <w:rsid w:val="00263F77"/>
    <w:rsid w:val="00267375"/>
    <w:rsid w:val="00273643"/>
    <w:rsid w:val="00274E6E"/>
    <w:rsid w:val="00280C53"/>
    <w:rsid w:val="00282E62"/>
    <w:rsid w:val="0028634C"/>
    <w:rsid w:val="002909EC"/>
    <w:rsid w:val="0029378E"/>
    <w:rsid w:val="00294BAC"/>
    <w:rsid w:val="002C622F"/>
    <w:rsid w:val="002D3011"/>
    <w:rsid w:val="002E0836"/>
    <w:rsid w:val="002E5B5E"/>
    <w:rsid w:val="002F2CA4"/>
    <w:rsid w:val="002F4F67"/>
    <w:rsid w:val="0030779C"/>
    <w:rsid w:val="0031018E"/>
    <w:rsid w:val="0032251A"/>
    <w:rsid w:val="00336694"/>
    <w:rsid w:val="0034575B"/>
    <w:rsid w:val="00363CA0"/>
    <w:rsid w:val="00364384"/>
    <w:rsid w:val="0036581C"/>
    <w:rsid w:val="003744F2"/>
    <w:rsid w:val="00393495"/>
    <w:rsid w:val="00397F1D"/>
    <w:rsid w:val="003A1A5F"/>
    <w:rsid w:val="003A607F"/>
    <w:rsid w:val="003B29C9"/>
    <w:rsid w:val="003C6986"/>
    <w:rsid w:val="003D14D4"/>
    <w:rsid w:val="003F2651"/>
    <w:rsid w:val="003F309A"/>
    <w:rsid w:val="003F4EE6"/>
    <w:rsid w:val="00406227"/>
    <w:rsid w:val="004118EF"/>
    <w:rsid w:val="00415087"/>
    <w:rsid w:val="0044394C"/>
    <w:rsid w:val="00444544"/>
    <w:rsid w:val="00446C34"/>
    <w:rsid w:val="00447F5A"/>
    <w:rsid w:val="00464ADC"/>
    <w:rsid w:val="004664CD"/>
    <w:rsid w:val="00467A57"/>
    <w:rsid w:val="00471B07"/>
    <w:rsid w:val="00486134"/>
    <w:rsid w:val="0048703A"/>
    <w:rsid w:val="004A37AC"/>
    <w:rsid w:val="004A6C5D"/>
    <w:rsid w:val="004B211A"/>
    <w:rsid w:val="004B711C"/>
    <w:rsid w:val="004C2F4C"/>
    <w:rsid w:val="004D1529"/>
    <w:rsid w:val="004E44F2"/>
    <w:rsid w:val="004F2041"/>
    <w:rsid w:val="00502EB0"/>
    <w:rsid w:val="00507E39"/>
    <w:rsid w:val="00512254"/>
    <w:rsid w:val="00520FF3"/>
    <w:rsid w:val="005435BD"/>
    <w:rsid w:val="00552548"/>
    <w:rsid w:val="0055722A"/>
    <w:rsid w:val="0056508F"/>
    <w:rsid w:val="00575A9F"/>
    <w:rsid w:val="005829D4"/>
    <w:rsid w:val="0058672B"/>
    <w:rsid w:val="00590048"/>
    <w:rsid w:val="00593E00"/>
    <w:rsid w:val="0059591F"/>
    <w:rsid w:val="005A1A8F"/>
    <w:rsid w:val="005B3422"/>
    <w:rsid w:val="005B75D0"/>
    <w:rsid w:val="005E7105"/>
    <w:rsid w:val="005F2075"/>
    <w:rsid w:val="005F5003"/>
    <w:rsid w:val="00602E58"/>
    <w:rsid w:val="00613B9D"/>
    <w:rsid w:val="006253E0"/>
    <w:rsid w:val="00630A79"/>
    <w:rsid w:val="00656A35"/>
    <w:rsid w:val="006964E5"/>
    <w:rsid w:val="006A0A28"/>
    <w:rsid w:val="006B021C"/>
    <w:rsid w:val="006C3DE7"/>
    <w:rsid w:val="006E30F0"/>
    <w:rsid w:val="006F7CE9"/>
    <w:rsid w:val="007074B9"/>
    <w:rsid w:val="0073289C"/>
    <w:rsid w:val="00733641"/>
    <w:rsid w:val="007336B6"/>
    <w:rsid w:val="00736919"/>
    <w:rsid w:val="007502C6"/>
    <w:rsid w:val="00751613"/>
    <w:rsid w:val="00751E81"/>
    <w:rsid w:val="00794E11"/>
    <w:rsid w:val="007A173C"/>
    <w:rsid w:val="007A3BBE"/>
    <w:rsid w:val="007A7508"/>
    <w:rsid w:val="007C0E19"/>
    <w:rsid w:val="007D219E"/>
    <w:rsid w:val="007D3396"/>
    <w:rsid w:val="007E152D"/>
    <w:rsid w:val="007E464E"/>
    <w:rsid w:val="007F1980"/>
    <w:rsid w:val="00822BA0"/>
    <w:rsid w:val="0086232F"/>
    <w:rsid w:val="008778C7"/>
    <w:rsid w:val="008810CB"/>
    <w:rsid w:val="00881750"/>
    <w:rsid w:val="00885BAB"/>
    <w:rsid w:val="008B21CE"/>
    <w:rsid w:val="008B472F"/>
    <w:rsid w:val="008C6073"/>
    <w:rsid w:val="008D3BF8"/>
    <w:rsid w:val="008D6EBC"/>
    <w:rsid w:val="008E0FEC"/>
    <w:rsid w:val="008F1046"/>
    <w:rsid w:val="008F3C03"/>
    <w:rsid w:val="008F7DC7"/>
    <w:rsid w:val="0090177B"/>
    <w:rsid w:val="00910EB0"/>
    <w:rsid w:val="00913646"/>
    <w:rsid w:val="0091591D"/>
    <w:rsid w:val="009259A1"/>
    <w:rsid w:val="00942D4E"/>
    <w:rsid w:val="00943818"/>
    <w:rsid w:val="0095295B"/>
    <w:rsid w:val="00977FBC"/>
    <w:rsid w:val="009824F1"/>
    <w:rsid w:val="00984AD1"/>
    <w:rsid w:val="0099095B"/>
    <w:rsid w:val="009A0598"/>
    <w:rsid w:val="009B1775"/>
    <w:rsid w:val="009C31D8"/>
    <w:rsid w:val="009E6C4F"/>
    <w:rsid w:val="00A0141E"/>
    <w:rsid w:val="00A07767"/>
    <w:rsid w:val="00A07B08"/>
    <w:rsid w:val="00A20C0A"/>
    <w:rsid w:val="00A231B1"/>
    <w:rsid w:val="00A52844"/>
    <w:rsid w:val="00A52EDB"/>
    <w:rsid w:val="00A57CFA"/>
    <w:rsid w:val="00A76F6E"/>
    <w:rsid w:val="00AC0AC8"/>
    <w:rsid w:val="00AC7B56"/>
    <w:rsid w:val="00AD55F2"/>
    <w:rsid w:val="00AF52A0"/>
    <w:rsid w:val="00AF6473"/>
    <w:rsid w:val="00AF66EB"/>
    <w:rsid w:val="00B04139"/>
    <w:rsid w:val="00B06C17"/>
    <w:rsid w:val="00B102E4"/>
    <w:rsid w:val="00B202E2"/>
    <w:rsid w:val="00B35EC4"/>
    <w:rsid w:val="00B37F2A"/>
    <w:rsid w:val="00B43607"/>
    <w:rsid w:val="00B614CC"/>
    <w:rsid w:val="00B7307C"/>
    <w:rsid w:val="00B743B9"/>
    <w:rsid w:val="00B830B4"/>
    <w:rsid w:val="00B856BD"/>
    <w:rsid w:val="00B937A0"/>
    <w:rsid w:val="00BB1D5B"/>
    <w:rsid w:val="00BC2E96"/>
    <w:rsid w:val="00BC5A5D"/>
    <w:rsid w:val="00BD4669"/>
    <w:rsid w:val="00BD4A36"/>
    <w:rsid w:val="00BD6F76"/>
    <w:rsid w:val="00BF23F2"/>
    <w:rsid w:val="00BF7EA1"/>
    <w:rsid w:val="00C12816"/>
    <w:rsid w:val="00C35FF7"/>
    <w:rsid w:val="00C37B88"/>
    <w:rsid w:val="00C600EF"/>
    <w:rsid w:val="00C63873"/>
    <w:rsid w:val="00C70842"/>
    <w:rsid w:val="00C7141F"/>
    <w:rsid w:val="00C823CB"/>
    <w:rsid w:val="00C91920"/>
    <w:rsid w:val="00C95B25"/>
    <w:rsid w:val="00CA5481"/>
    <w:rsid w:val="00CC10D2"/>
    <w:rsid w:val="00CC44C3"/>
    <w:rsid w:val="00CE2623"/>
    <w:rsid w:val="00CE5D14"/>
    <w:rsid w:val="00D27E56"/>
    <w:rsid w:val="00D302FE"/>
    <w:rsid w:val="00D34A04"/>
    <w:rsid w:val="00D4071B"/>
    <w:rsid w:val="00D461B4"/>
    <w:rsid w:val="00D52ACA"/>
    <w:rsid w:val="00D53B5C"/>
    <w:rsid w:val="00D82DF1"/>
    <w:rsid w:val="00D95CDB"/>
    <w:rsid w:val="00DB66F7"/>
    <w:rsid w:val="00DE3715"/>
    <w:rsid w:val="00DF1B13"/>
    <w:rsid w:val="00DF56AC"/>
    <w:rsid w:val="00E1369D"/>
    <w:rsid w:val="00E1590C"/>
    <w:rsid w:val="00E17DD6"/>
    <w:rsid w:val="00E21DD6"/>
    <w:rsid w:val="00E26FE2"/>
    <w:rsid w:val="00E27A05"/>
    <w:rsid w:val="00E35336"/>
    <w:rsid w:val="00E4353D"/>
    <w:rsid w:val="00E4626A"/>
    <w:rsid w:val="00E50C70"/>
    <w:rsid w:val="00E65558"/>
    <w:rsid w:val="00E65F45"/>
    <w:rsid w:val="00E70205"/>
    <w:rsid w:val="00E716FD"/>
    <w:rsid w:val="00E744BF"/>
    <w:rsid w:val="00E86152"/>
    <w:rsid w:val="00E97FAD"/>
    <w:rsid w:val="00EA5E3A"/>
    <w:rsid w:val="00EB5FB9"/>
    <w:rsid w:val="00EC083B"/>
    <w:rsid w:val="00EC362B"/>
    <w:rsid w:val="00ED1755"/>
    <w:rsid w:val="00ED6413"/>
    <w:rsid w:val="00EE0B93"/>
    <w:rsid w:val="00EE7BF1"/>
    <w:rsid w:val="00EF2658"/>
    <w:rsid w:val="00F17FE5"/>
    <w:rsid w:val="00F22964"/>
    <w:rsid w:val="00F25362"/>
    <w:rsid w:val="00F2622F"/>
    <w:rsid w:val="00F317BF"/>
    <w:rsid w:val="00F54A9A"/>
    <w:rsid w:val="00F82145"/>
    <w:rsid w:val="00F967CC"/>
    <w:rsid w:val="00FD6BAA"/>
    <w:rsid w:val="00FE3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1F"/>
    <w:pPr>
      <w:jc w:val="both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552548"/>
    <w:pPr>
      <w:keepNext/>
      <w:keepLines/>
      <w:spacing w:before="120" w:after="240"/>
      <w:ind w:left="142"/>
      <w:jc w:val="center"/>
      <w:outlineLvl w:val="0"/>
    </w:pPr>
    <w:rPr>
      <w:rFonts w:eastAsiaTheme="majorEastAsia"/>
      <w:b/>
      <w:bCs/>
      <w:smallCap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0AC8"/>
    <w:pPr>
      <w:keepNext/>
      <w:keepLines/>
      <w:spacing w:before="200" w:after="120" w:line="360" w:lineRule="auto"/>
      <w:ind w:firstLine="709"/>
      <w:outlineLvl w:val="1"/>
    </w:pPr>
    <w:rPr>
      <w:rFonts w:eastAsiaTheme="majorEastAsia"/>
      <w:b/>
      <w:bCs/>
      <w:sz w:val="26"/>
      <w:szCs w:val="26"/>
    </w:rPr>
  </w:style>
  <w:style w:type="paragraph" w:styleId="3">
    <w:name w:val="heading 3"/>
    <w:basedOn w:val="2"/>
    <w:next w:val="a"/>
    <w:link w:val="30"/>
    <w:unhideWhenUsed/>
    <w:qFormat/>
    <w:locked/>
    <w:rsid w:val="00AC0AC8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3011"/>
    <w:pPr>
      <w:ind w:left="720"/>
      <w:contextualSpacing/>
    </w:pPr>
  </w:style>
  <w:style w:type="character" w:styleId="a4">
    <w:name w:val="Hyperlink"/>
    <w:basedOn w:val="a0"/>
    <w:uiPriority w:val="99"/>
    <w:rsid w:val="00E65558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5F50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A57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57CFA"/>
    <w:rPr>
      <w:rFonts w:ascii="Tahoma" w:hAnsi="Tahoma" w:cs="Tahoma"/>
      <w:sz w:val="16"/>
      <w:szCs w:val="16"/>
    </w:rPr>
  </w:style>
  <w:style w:type="paragraph" w:styleId="a8">
    <w:name w:val="Salutation"/>
    <w:basedOn w:val="a"/>
    <w:next w:val="a"/>
    <w:link w:val="a9"/>
    <w:uiPriority w:val="99"/>
    <w:rsid w:val="00F2622F"/>
    <w:pPr>
      <w:jc w:val="left"/>
    </w:pPr>
    <w:rPr>
      <w:rFonts w:eastAsia="Times New Roman"/>
      <w:szCs w:val="24"/>
      <w:lang w:val="en-US"/>
    </w:rPr>
  </w:style>
  <w:style w:type="character" w:customStyle="1" w:styleId="a9">
    <w:name w:val="Приветствие Знак"/>
    <w:basedOn w:val="a0"/>
    <w:link w:val="a8"/>
    <w:uiPriority w:val="99"/>
    <w:locked/>
    <w:rsid w:val="00F2622F"/>
    <w:rPr>
      <w:rFonts w:ascii="Times New Roman" w:hAnsi="Times New Roman" w:cs="Times New Roman"/>
      <w:sz w:val="24"/>
      <w:szCs w:val="24"/>
      <w:lang w:val="en-US"/>
    </w:rPr>
  </w:style>
  <w:style w:type="paragraph" w:styleId="aa">
    <w:name w:val="footnote text"/>
    <w:basedOn w:val="a"/>
    <w:link w:val="ab"/>
    <w:uiPriority w:val="99"/>
    <w:semiHidden/>
    <w:rsid w:val="00BC5A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C5A5D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BC5A5D"/>
    <w:rPr>
      <w:rFonts w:cs="Times New Roman"/>
      <w:vertAlign w:val="superscript"/>
    </w:rPr>
  </w:style>
  <w:style w:type="character" w:styleId="ad">
    <w:name w:val="FollowedHyperlink"/>
    <w:basedOn w:val="a0"/>
    <w:uiPriority w:val="99"/>
    <w:semiHidden/>
    <w:rsid w:val="00E97FAD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263F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00729D"/>
    <w:rPr>
      <w:rFonts w:ascii="Times New Roman" w:hAnsi="Times New Roman" w:cs="Times New Roman"/>
      <w:sz w:val="24"/>
      <w:lang w:eastAsia="en-US"/>
    </w:rPr>
  </w:style>
  <w:style w:type="character" w:styleId="af0">
    <w:name w:val="page number"/>
    <w:basedOn w:val="a0"/>
    <w:uiPriority w:val="99"/>
    <w:rsid w:val="00263F77"/>
    <w:rPr>
      <w:rFonts w:cs="Times New Roman"/>
    </w:rPr>
  </w:style>
  <w:style w:type="character" w:customStyle="1" w:styleId="10">
    <w:name w:val="Заголовок 1 Знак"/>
    <w:basedOn w:val="a0"/>
    <w:link w:val="1"/>
    <w:rsid w:val="00552548"/>
    <w:rPr>
      <w:rFonts w:ascii="Times New Roman" w:eastAsiaTheme="majorEastAsia" w:hAnsi="Times New Roman"/>
      <w:b/>
      <w:bCs/>
      <w:smallCap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D82DF1"/>
    <w:pPr>
      <w:spacing w:after="100"/>
    </w:pPr>
  </w:style>
  <w:style w:type="character" w:customStyle="1" w:styleId="20">
    <w:name w:val="Заголовок 2 Знак"/>
    <w:basedOn w:val="a0"/>
    <w:link w:val="2"/>
    <w:rsid w:val="00AC0AC8"/>
    <w:rPr>
      <w:rFonts w:ascii="Times New Roman" w:eastAsiaTheme="majorEastAsia" w:hAnsi="Times New Roman"/>
      <w:b/>
      <w:bCs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locked/>
    <w:rsid w:val="00552548"/>
    <w:pPr>
      <w:spacing w:after="100"/>
      <w:ind w:left="240"/>
    </w:pPr>
  </w:style>
  <w:style w:type="paragraph" w:styleId="af1">
    <w:name w:val="TOC Heading"/>
    <w:basedOn w:val="1"/>
    <w:next w:val="a"/>
    <w:uiPriority w:val="39"/>
    <w:semiHidden/>
    <w:unhideWhenUsed/>
    <w:qFormat/>
    <w:rsid w:val="00AC0AC8"/>
    <w:pPr>
      <w:spacing w:before="480" w:after="0" w:line="276" w:lineRule="auto"/>
      <w:ind w:left="0"/>
      <w:jc w:val="left"/>
      <w:outlineLvl w:val="9"/>
    </w:pPr>
    <w:rPr>
      <w:rFonts w:asciiTheme="majorHAnsi" w:hAnsiTheme="majorHAnsi" w:cstheme="majorBidi"/>
      <w:smallCaps w:val="0"/>
      <w:color w:val="365F91" w:themeColor="accent1" w:themeShade="BF"/>
      <w:lang w:eastAsia="ru-RU"/>
    </w:rPr>
  </w:style>
  <w:style w:type="character" w:customStyle="1" w:styleId="30">
    <w:name w:val="Заголовок 3 Знак"/>
    <w:basedOn w:val="a0"/>
    <w:link w:val="3"/>
    <w:rsid w:val="00AC0AC8"/>
    <w:rPr>
      <w:rFonts w:ascii="Times New Roman" w:eastAsiaTheme="majorEastAsia" w:hAnsi="Times New Roman"/>
      <w:b/>
      <w:bCs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locked/>
    <w:rsid w:val="00267375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1F"/>
    <w:pPr>
      <w:jc w:val="both"/>
    </w:pPr>
    <w:rPr>
      <w:rFonts w:ascii="Times New Roman" w:hAnsi="Times New Roman"/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552548"/>
    <w:pPr>
      <w:keepNext/>
      <w:keepLines/>
      <w:spacing w:before="120" w:after="240"/>
      <w:ind w:left="142"/>
      <w:jc w:val="center"/>
      <w:outlineLvl w:val="0"/>
    </w:pPr>
    <w:rPr>
      <w:rFonts w:eastAsiaTheme="majorEastAsia"/>
      <w:b/>
      <w:bCs/>
      <w:smallCap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AC0AC8"/>
    <w:pPr>
      <w:keepNext/>
      <w:keepLines/>
      <w:spacing w:before="200" w:after="120" w:line="360" w:lineRule="auto"/>
      <w:ind w:firstLine="709"/>
      <w:outlineLvl w:val="1"/>
    </w:pPr>
    <w:rPr>
      <w:rFonts w:eastAsiaTheme="majorEastAsia"/>
      <w:b/>
      <w:bCs/>
      <w:sz w:val="26"/>
      <w:szCs w:val="26"/>
    </w:rPr>
  </w:style>
  <w:style w:type="paragraph" w:styleId="3">
    <w:name w:val="heading 3"/>
    <w:basedOn w:val="2"/>
    <w:next w:val="a"/>
    <w:link w:val="30"/>
    <w:unhideWhenUsed/>
    <w:qFormat/>
    <w:locked/>
    <w:rsid w:val="00AC0AC8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3011"/>
    <w:pPr>
      <w:ind w:left="720"/>
      <w:contextualSpacing/>
    </w:pPr>
  </w:style>
  <w:style w:type="character" w:styleId="a4">
    <w:name w:val="Hyperlink"/>
    <w:basedOn w:val="a0"/>
    <w:uiPriority w:val="99"/>
    <w:rsid w:val="00E65558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5F50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A57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57CFA"/>
    <w:rPr>
      <w:rFonts w:ascii="Tahoma" w:hAnsi="Tahoma" w:cs="Tahoma"/>
      <w:sz w:val="16"/>
      <w:szCs w:val="16"/>
    </w:rPr>
  </w:style>
  <w:style w:type="paragraph" w:styleId="a8">
    <w:name w:val="Salutation"/>
    <w:basedOn w:val="a"/>
    <w:next w:val="a"/>
    <w:link w:val="a9"/>
    <w:uiPriority w:val="99"/>
    <w:rsid w:val="00F2622F"/>
    <w:pPr>
      <w:jc w:val="left"/>
    </w:pPr>
    <w:rPr>
      <w:rFonts w:eastAsia="Times New Roman"/>
      <w:szCs w:val="24"/>
      <w:lang w:val="en-US"/>
    </w:rPr>
  </w:style>
  <w:style w:type="character" w:customStyle="1" w:styleId="a9">
    <w:name w:val="Приветствие Знак"/>
    <w:basedOn w:val="a0"/>
    <w:link w:val="a8"/>
    <w:uiPriority w:val="99"/>
    <w:locked/>
    <w:rsid w:val="00F2622F"/>
    <w:rPr>
      <w:rFonts w:ascii="Times New Roman" w:hAnsi="Times New Roman" w:cs="Times New Roman"/>
      <w:sz w:val="24"/>
      <w:szCs w:val="24"/>
      <w:lang w:val="en-US"/>
    </w:rPr>
  </w:style>
  <w:style w:type="paragraph" w:styleId="aa">
    <w:name w:val="footnote text"/>
    <w:basedOn w:val="a"/>
    <w:link w:val="ab"/>
    <w:uiPriority w:val="99"/>
    <w:semiHidden/>
    <w:rsid w:val="00BC5A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C5A5D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BC5A5D"/>
    <w:rPr>
      <w:rFonts w:cs="Times New Roman"/>
      <w:vertAlign w:val="superscript"/>
    </w:rPr>
  </w:style>
  <w:style w:type="character" w:styleId="ad">
    <w:name w:val="FollowedHyperlink"/>
    <w:basedOn w:val="a0"/>
    <w:uiPriority w:val="99"/>
    <w:semiHidden/>
    <w:rsid w:val="00E97FAD"/>
    <w:rPr>
      <w:rFonts w:cs="Times New Roman"/>
      <w:color w:val="800080"/>
      <w:u w:val="single"/>
    </w:rPr>
  </w:style>
  <w:style w:type="paragraph" w:styleId="ae">
    <w:name w:val="footer"/>
    <w:basedOn w:val="a"/>
    <w:link w:val="af"/>
    <w:uiPriority w:val="99"/>
    <w:rsid w:val="00263F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ascii="Times New Roman" w:hAnsi="Times New Roman" w:cs="Times New Roman"/>
      <w:sz w:val="24"/>
      <w:lang w:eastAsia="en-US"/>
    </w:rPr>
  </w:style>
  <w:style w:type="character" w:styleId="af0">
    <w:name w:val="page number"/>
    <w:basedOn w:val="a0"/>
    <w:uiPriority w:val="99"/>
    <w:rsid w:val="00263F77"/>
    <w:rPr>
      <w:rFonts w:cs="Times New Roman"/>
    </w:rPr>
  </w:style>
  <w:style w:type="character" w:customStyle="1" w:styleId="10">
    <w:name w:val="Заголовок 1 Знак"/>
    <w:basedOn w:val="a0"/>
    <w:link w:val="1"/>
    <w:rsid w:val="00552548"/>
    <w:rPr>
      <w:rFonts w:ascii="Times New Roman" w:eastAsiaTheme="majorEastAsia" w:hAnsi="Times New Roman"/>
      <w:b/>
      <w:bCs/>
      <w:smallCap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D82DF1"/>
    <w:pPr>
      <w:spacing w:after="100"/>
    </w:pPr>
  </w:style>
  <w:style w:type="character" w:customStyle="1" w:styleId="20">
    <w:name w:val="Заголовок 2 Знак"/>
    <w:basedOn w:val="a0"/>
    <w:link w:val="2"/>
    <w:rsid w:val="00AC0AC8"/>
    <w:rPr>
      <w:rFonts w:ascii="Times New Roman" w:eastAsiaTheme="majorEastAsia" w:hAnsi="Times New Roman"/>
      <w:b/>
      <w:bCs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locked/>
    <w:rsid w:val="00552548"/>
    <w:pPr>
      <w:spacing w:after="100"/>
      <w:ind w:left="240"/>
    </w:pPr>
  </w:style>
  <w:style w:type="paragraph" w:styleId="af1">
    <w:name w:val="TOC Heading"/>
    <w:basedOn w:val="1"/>
    <w:next w:val="a"/>
    <w:uiPriority w:val="39"/>
    <w:semiHidden/>
    <w:unhideWhenUsed/>
    <w:qFormat/>
    <w:rsid w:val="00AC0AC8"/>
    <w:pPr>
      <w:spacing w:before="480" w:after="0" w:line="276" w:lineRule="auto"/>
      <w:ind w:left="0"/>
      <w:jc w:val="left"/>
      <w:outlineLvl w:val="9"/>
    </w:pPr>
    <w:rPr>
      <w:rFonts w:asciiTheme="majorHAnsi" w:hAnsiTheme="majorHAnsi" w:cstheme="majorBidi"/>
      <w:smallCaps w:val="0"/>
      <w:color w:val="365F91" w:themeColor="accent1" w:themeShade="BF"/>
      <w:lang w:eastAsia="ru-RU"/>
    </w:rPr>
  </w:style>
  <w:style w:type="character" w:customStyle="1" w:styleId="30">
    <w:name w:val="Заголовок 3 Знак"/>
    <w:basedOn w:val="a0"/>
    <w:link w:val="3"/>
    <w:rsid w:val="00AC0AC8"/>
    <w:rPr>
      <w:rFonts w:ascii="Times New Roman" w:eastAsiaTheme="majorEastAsia" w:hAnsi="Times New Roman"/>
      <w:b/>
      <w:bCs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39"/>
    <w:locked/>
    <w:rsid w:val="00267375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fin39.ru/financial_literacy/news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ief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lgt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lops.ru/news/dengi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kgd.ru/finazbuka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klama-online.ru/radio-rossii-yantar-kaliningrad/reklama-ceny/" TargetMode="External"/><Relationship Id="rId2" Type="http://schemas.openxmlformats.org/officeDocument/2006/relationships/hyperlink" Target="http://www.target-39.ru/radio/Majak.html" TargetMode="External"/><Relationship Id="rId1" Type="http://schemas.openxmlformats.org/officeDocument/2006/relationships/hyperlink" Target="http://www.econorus.org/c2013/program.phtml?vid=report&amp;eid=100&amp;PHPSESSID=78d192nm923trst4qj0e68rdq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EA1FF-AE33-4C31-835A-94F1DA97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28</Pages>
  <Words>4646</Words>
  <Characters>35298</Characters>
  <Application>Microsoft Office Word</Application>
  <DocSecurity>0</DocSecurity>
  <Lines>294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FGBOU "Kaliningrad state technical university"</Company>
  <LinksUpToDate>false</LinksUpToDate>
  <CharactersWithSpaces>39865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Yana Kruglyak</cp:lastModifiedBy>
  <cp:revision>3</cp:revision>
  <cp:lastPrinted>2014-03-04T15:48:00Z</cp:lastPrinted>
  <dcterms:created xsi:type="dcterms:W3CDTF">2016-07-29T07:42:00Z</dcterms:created>
  <dcterms:modified xsi:type="dcterms:W3CDTF">2016-08-25T10:46:00Z</dcterms:modified>
</cp:coreProperties>
</file>